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Gwka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Wykonawcy:</w:t>
      </w:r>
    </w:p>
    <w:p>
      <w:pPr>
        <w:pStyle w:val="Gwka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Adres:</w:t>
      </w:r>
    </w:p>
    <w:p>
      <w:pPr>
        <w:pStyle w:val="Gwka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NIP:</w:t>
      </w:r>
    </w:p>
    <w:p>
      <w:pPr>
        <w:pStyle w:val="Gwka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REGON:</w:t>
      </w:r>
    </w:p>
    <w:p>
      <w:pPr>
        <w:pStyle w:val="Gwka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nr telefonu:</w:t>
      </w:r>
    </w:p>
    <w:p>
      <w:pPr>
        <w:pStyle w:val="Gwka"/>
        <w:spacing w:lineRule="auto" w:line="240" w:before="0" w:after="16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adres e-mail: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bookmarkStart w:id="0" w:name="_GoBack"/>
      <w:r>
        <w:rPr>
          <w:rFonts w:cs="Arial" w:ascii="Arial" w:hAnsi="Arial"/>
          <w:b/>
          <w:sz w:val="20"/>
          <w:szCs w:val="20"/>
        </w:rPr>
        <w:t xml:space="preserve">FORMULARZ ASORTYMENTOWO –  CENOWY </w:t>
      </w:r>
      <w:bookmarkEnd w:id="0"/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5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6640"/>
        <w:gridCol w:w="1365"/>
        <w:gridCol w:w="954"/>
        <w:gridCol w:w="913"/>
        <w:gridCol w:w="845"/>
        <w:gridCol w:w="916"/>
        <w:gridCol w:w="1924"/>
        <w:gridCol w:w="1920"/>
      </w:tblGrid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L.p</w:t>
            </w:r>
          </w:p>
        </w:tc>
        <w:tc>
          <w:tcPr>
            <w:tcW w:w="6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Jedn. miary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 jedn. netto</w:t>
              <w:br/>
              <w:t>w zł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Stawka podatku VAT (w %)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 jedn. brutto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 zł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netto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 zł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brutto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 zł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Naturalne olejki eteryczne do aromaterapii - zestaw, min. 8 sztuk w zestawie, pojemność 1 szt.: min 10 ml, mix zapachów w zestawie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zestaw</w:t>
            </w:r>
          </w:p>
        </w:tc>
        <w:tc>
          <w:tcPr>
            <w:tcW w:w="954" w:type="dxa"/>
            <w:tcBorders>
              <w:top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Naturalne olejki eteryczne do aromaterapii, mix zapachów, poj. 1 szt min 12 ml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Ceramiczny  kominek do aromaterapii, wysokość min. 11 cm, średnica min.  8 cm,  w naturalnych barwach (beż, biel, szarość, jasny brąz)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Podgrzewacze, opakowanie min. 100 szt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opakowanie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shd w:fill="auto" w:val="clear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00" w:val="clear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00" w:val="clear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Stemple ziołowe do masażu, opakowanie min. 2 sztuki, waga 1 sztuki  220 g (+/- 10g)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opakowanie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Kamienie do masażu z białego marmuru, zestaw min.  15 sztuk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zestaw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shd w:fill="auto" w:val="clear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Gorące bazaltowe kamienie do masażu opakowanie min. 9 sztuk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opakowanie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Koc terapeutyczny - obciążający, rozm:  min. 90 cmx min. 120 cm , wypełnienie -granulat szklany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40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shd w:fill="auto" w:val="cle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Koc terapeutyczny – wykonany z mikrofibry, wymiary koca min. 150 cm x min.200 cm (+/- 10cm)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Lampa solna naturalna z soli himalajskiej na podstawce, w komplecie z kablem elektrycznym z włącznikiem i żarówką, waga  25-30 kg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6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Lampa jonizująca - generator mgły, system 12 diod LED, wysokość 85 cm (+/-5cm), szerokość misy 42 cm (+/-2cm)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sztuka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1633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Razem wartość w zł: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Miejsce, data</w:t>
      </w:r>
    </w:p>
    <w:p>
      <w:pPr>
        <w:pStyle w:val="Normal"/>
        <w:spacing w:lineRule="auto" w:line="240" w:before="0" w:after="0"/>
        <w:ind w:left="6096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>.…………………………………………</w:t>
      </w:r>
    </w:p>
    <w:p>
      <w:pPr>
        <w:pStyle w:val="Normal"/>
        <w:spacing w:lineRule="auto" w:line="240" w:before="0" w:after="0"/>
        <w:ind w:left="6096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osoby/osób upoważnionych</w:t>
      </w:r>
    </w:p>
    <w:p>
      <w:pPr>
        <w:pStyle w:val="Normal"/>
        <w:spacing w:lineRule="auto" w:line="240" w:before="0" w:after="0"/>
        <w:ind w:left="6096" w:right="0" w:hanging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 xml:space="preserve"> </w:t>
      </w:r>
      <w:r>
        <w:rPr>
          <w:rFonts w:cs="Arial" w:ascii="Arial" w:hAnsi="Arial"/>
          <w:iCs/>
          <w:sz w:val="20"/>
          <w:szCs w:val="20"/>
        </w:rPr>
        <w:t xml:space="preserve">do występowania w imieniu Wykonawcy 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1560" w:bottom="356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 w:val="false"/>
        <w:b w:val="false"/>
        <w:bCs w:val="false"/>
        <w:sz w:val="20"/>
        <w:szCs w:val="20"/>
      </w:rPr>
    </w:pPr>
    <w:r>
      <w:rPr>
        <w:rFonts w:ascii="Arial" w:hAnsi="Arial"/>
        <w:b w:val="false"/>
        <w:bCs w:val="fals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b w:val="false"/>
        <w:bCs w:val="false"/>
        <w:sz w:val="20"/>
        <w:szCs w:val="20"/>
      </w:rPr>
      <w:t xml:space="preserve">Strona </w:t>
    </w:r>
    <w:r>
      <w:rPr>
        <w:rFonts w:ascii="Arial" w:hAnsi="Arial"/>
        <w:b w:val="false"/>
        <w:bCs w:val="false"/>
        <w:sz w:val="20"/>
        <w:szCs w:val="20"/>
      </w:rPr>
      <w:fldChar w:fldCharType="begin"/>
    </w:r>
    <w:r>
      <w:rPr>
        <w:sz w:val="20"/>
        <w:b w:val="false"/>
        <w:szCs w:val="20"/>
        <w:bCs w:val="false"/>
        <w:rFonts w:ascii="Arial" w:hAnsi="Arial"/>
      </w:rPr>
      <w:instrText> PAGE </w:instrText>
    </w:r>
    <w:r>
      <w:rPr>
        <w:sz w:val="20"/>
        <w:b w:val="false"/>
        <w:szCs w:val="20"/>
        <w:bCs w:val="false"/>
        <w:rFonts w:ascii="Arial" w:hAnsi="Arial"/>
      </w:rPr>
      <w:fldChar w:fldCharType="separate"/>
    </w:r>
    <w:r>
      <w:rPr>
        <w:sz w:val="20"/>
        <w:b w:val="false"/>
        <w:szCs w:val="20"/>
        <w:bCs w:val="false"/>
        <w:rFonts w:ascii="Arial" w:hAnsi="Arial"/>
      </w:rPr>
      <w:t>3</w:t>
    </w:r>
    <w:r>
      <w:rPr>
        <w:sz w:val="20"/>
        <w:b w:val="false"/>
        <w:szCs w:val="20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20"/>
        <w:szCs w:val="20"/>
      </w:rPr>
      <w:t xml:space="preserve"> z </w:t>
    </w:r>
    <w:r>
      <w:rPr>
        <w:rFonts w:ascii="Arial" w:hAnsi="Arial"/>
        <w:b w:val="false"/>
        <w:bCs w:val="false"/>
        <w:sz w:val="20"/>
        <w:szCs w:val="20"/>
      </w:rPr>
      <w:fldChar w:fldCharType="begin"/>
    </w:r>
    <w:r>
      <w:rPr>
        <w:sz w:val="20"/>
        <w:b w:val="false"/>
        <w:szCs w:val="20"/>
        <w:bCs w:val="false"/>
        <w:rFonts w:ascii="Arial" w:hAnsi="Arial"/>
      </w:rPr>
      <w:instrText> NUMPAGES </w:instrText>
    </w:r>
    <w:r>
      <w:rPr>
        <w:sz w:val="20"/>
        <w:b w:val="false"/>
        <w:szCs w:val="20"/>
        <w:bCs w:val="false"/>
        <w:rFonts w:ascii="Arial" w:hAnsi="Arial"/>
      </w:rPr>
      <w:fldChar w:fldCharType="separate"/>
    </w:r>
    <w:r>
      <w:rPr>
        <w:sz w:val="20"/>
        <w:b w:val="false"/>
        <w:szCs w:val="20"/>
        <w:bCs w:val="false"/>
        <w:rFonts w:ascii="Arial" w:hAnsi="Arial"/>
      </w:rPr>
      <w:t>3</w:t>
    </w:r>
    <w:r>
      <w:rPr>
        <w:sz w:val="20"/>
        <w:b w:val="false"/>
        <w:szCs w:val="20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20"/>
        <w:szCs w:val="20"/>
      </w:rPr>
      <w:t xml:space="preserve"> </w:t>
    </w:r>
    <w:r>
      <w:rPr>
        <w:rFonts w:ascii="Arial" w:hAnsi="Arial"/>
        <w:b w:val="false"/>
        <w:bCs w:val="false"/>
        <w:i/>
        <w:iCs/>
        <w:sz w:val="20"/>
        <w:szCs w:val="20"/>
      </w:rPr>
      <w:t>P</w:t>
    </w:r>
    <w:r>
      <w:rPr>
        <w:rFonts w:ascii="Arial" w:hAnsi="Arial"/>
        <w:b w:val="false"/>
        <w:bCs w:val="false"/>
        <w:i/>
        <w:sz w:val="20"/>
        <w:szCs w:val="20"/>
      </w:rPr>
      <w:t>rojekt „LUBInclusiON – działania profilaktyczne i usamodzielniające w środowisku lokalnym oraz utworzenie nowych miejsc usług społecznych”  jest współfinansowany z Europejskiego Funduszu Społecznego i budżetu państwa w ramach Regionalnego Programu Operacyjnego Województwa Lubelskiego na lata 2014-2020</w:t>
    </w:r>
  </w:p>
  <w:p>
    <w:pPr>
      <w:pStyle w:val="Normal"/>
      <w:spacing w:before="0" w:after="200"/>
      <w:rPr>
        <w:rFonts w:ascii="Arial" w:hAnsi="Arial"/>
        <w:b w:val="false"/>
        <w:b w:val="false"/>
        <w:bCs w:val="false"/>
        <w:sz w:val="20"/>
        <w:szCs w:val="20"/>
      </w:rPr>
    </w:pPr>
    <w:r>
      <w:rPr>
        <w:rFonts w:ascii="Arial" w:hAnsi="Arial"/>
        <w:b w:val="false"/>
        <w:bCs w:val="false"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1993900</wp:posOffset>
          </wp:positionH>
          <wp:positionV relativeFrom="paragraph">
            <wp:posOffset>-128270</wp:posOffset>
          </wp:positionV>
          <wp:extent cx="4876165" cy="789940"/>
          <wp:effectExtent l="0" t="0" r="0" b="0"/>
          <wp:wrapTopAndBottom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/>
    </w:pPr>
    <w:r>
      <w:rPr>
        <w:rFonts w:cs="Arial" w:ascii="Arial" w:hAnsi="Arial"/>
        <w:sz w:val="24"/>
        <w:szCs w:val="24"/>
      </w:rPr>
      <w:t xml:space="preserve">Załącznik nr 1 </w:t>
    </w:r>
  </w:p>
  <w:p>
    <w:pPr>
      <w:pStyle w:val="Tretekstu"/>
      <w:spacing w:before="0" w:after="120"/>
      <w:jc w:val="right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138"/>
      </w:pPr>
    </w:lvl>
    <w:lvl w:ilvl="1">
      <w:start w:val="1"/>
      <w:numFmt w:val="decimal"/>
      <w:lvlText w:val="%2. "/>
      <w:lvlJc w:val="left"/>
      <w:pPr>
        <w:tabs>
          <w:tab w:val="num" w:pos="360"/>
        </w:tabs>
        <w:ind w:left="360" w:hanging="138"/>
      </w:pPr>
    </w:lvl>
    <w:lvl w:ilvl="2">
      <w:start w:val="1"/>
      <w:numFmt w:val="decimal"/>
      <w:lvlText w:val="%3) "/>
      <w:lvlJc w:val="left"/>
      <w:pPr>
        <w:tabs>
          <w:tab w:val="num" w:pos="360"/>
        </w:tabs>
        <w:ind w:left="360" w:hanging="138"/>
      </w:pPr>
    </w:lvl>
    <w:lvl w:ilvl="3">
      <w:start w:val="1"/>
      <w:numFmt w:val="lowerLetter"/>
      <w:lvlText w:val="%4) "/>
      <w:lvlJc w:val="left"/>
      <w:pPr>
        <w:tabs>
          <w:tab w:val="num" w:pos="360"/>
        </w:tabs>
        <w:ind w:left="360" w:hanging="138"/>
      </w:p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138"/>
      </w:pPr>
      <w:rPr>
        <w:rFonts w:ascii="Arial" w:hAnsi="Arial" w:cs="Arial" w:hint="default"/>
      </w:rPr>
    </w:lvl>
    <w:lvl w:ilvl="5">
      <w:start w:val="6"/>
      <w:numFmt w:val="none"/>
      <w:suff w:val="nothing"/>
      <w:lvlText w:val=""/>
      <w:lvlJc w:val="left"/>
      <w:pPr>
        <w:tabs>
          <w:tab w:val="num" w:pos="0"/>
        </w:tabs>
        <w:ind w:left="360" w:hanging="138"/>
      </w:pPr>
    </w:lvl>
    <w:lvl w:ilvl="6">
      <w:start w:val="7"/>
      <w:numFmt w:val="none"/>
      <w:suff w:val="nothing"/>
      <w:lvlText w:val=""/>
      <w:lvlJc w:val="left"/>
      <w:pPr>
        <w:tabs>
          <w:tab w:val="num" w:pos="0"/>
        </w:tabs>
        <w:ind w:left="400" w:hanging="138"/>
      </w:pPr>
    </w:lvl>
    <w:lvl w:ilvl="7">
      <w:start w:val="8"/>
      <w:numFmt w:val="none"/>
      <w:suff w:val="nothing"/>
      <w:lvlText w:val=""/>
      <w:lvlJc w:val="left"/>
      <w:pPr>
        <w:tabs>
          <w:tab w:val="num" w:pos="0"/>
        </w:tabs>
        <w:ind w:left="684" w:hanging="138"/>
      </w:pPr>
    </w:lvl>
    <w:lvl w:ilvl="8">
      <w:start w:val="9"/>
      <w:numFmt w:val="none"/>
      <w:suff w:val="nothing"/>
      <w:lvlText w:val=""/>
      <w:lvlJc w:val="left"/>
      <w:pPr>
        <w:tabs>
          <w:tab w:val="num" w:pos="0"/>
        </w:tabs>
        <w:ind w:left="967" w:hanging="138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Arial Unicode MS"/>
      <w:color w:val="auto"/>
      <w:kern w:val="2"/>
      <w:sz w:val="22"/>
      <w:szCs w:val="22"/>
      <w:lang w:val="pl-PL" w:eastAsia="en-US" w:bidi="hi-IN"/>
    </w:rPr>
  </w:style>
  <w:style w:type="paragraph" w:styleId="Nagwek1">
    <w:name w:val="Heading 1"/>
    <w:basedOn w:val="Normal"/>
    <w:next w:val="Normal"/>
    <w:qFormat/>
    <w:pPr>
      <w:keepNext w:val="true"/>
      <w:jc w:val="right"/>
    </w:pPr>
    <w:rPr>
      <w:rFonts w:ascii="Arial" w:hAnsi="Arial" w:cs="Arial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</w:pPr>
    <w:rPr>
      <w:rFonts w:ascii="Arial" w:hAnsi="Arial" w:cs="Arial"/>
      <w:sz w:val="24"/>
    </w:rPr>
  </w:style>
  <w:style w:type="paragraph" w:styleId="Nagwek3">
    <w:name w:val="Heading 3"/>
    <w:basedOn w:val="Gwka"/>
    <w:next w:val="Tretekstu"/>
    <w:qFormat/>
    <w:pPr/>
    <w:rPr>
      <w:b/>
      <w:bCs/>
      <w:sz w:val="28"/>
      <w:szCs w:val="28"/>
    </w:rPr>
  </w:style>
  <w:style w:type="paragraph" w:styleId="Nagwek4">
    <w:name w:val="Heading 4"/>
    <w:basedOn w:val="Gwka"/>
    <w:next w:val="Tretekstu"/>
    <w:qFormat/>
    <w:pPr>
      <w:pBdr>
        <w:top w:val="single" w:sz="2" w:space="1" w:color="000000"/>
      </w:pBdr>
      <w:shd w:val="clear" w:fill="E6E6E6"/>
    </w:pPr>
    <w:rPr>
      <w:b/>
      <w:bCs/>
      <w:i/>
      <w:iCs/>
      <w:sz w:val="24"/>
      <w:szCs w:val="24"/>
    </w:rPr>
  </w:style>
  <w:style w:type="paragraph" w:styleId="Nagwek5">
    <w:name w:val="Heading 5"/>
    <w:basedOn w:val="Gwka"/>
    <w:next w:val="Tretekstu"/>
    <w:qFormat/>
    <w:pPr/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TekstdymkaZnak">
    <w:name w:val="Tekst dymka Znak"/>
    <w:qFormat/>
    <w:rPr/>
  </w:style>
  <w:style w:type="character" w:styleId="Annotationreference">
    <w:name w:val="annotation reference"/>
    <w:qFormat/>
    <w:rPr/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/>
  </w:style>
  <w:style w:type="character" w:styleId="Zmieniony">
    <w:name w:val="Zmieniony"/>
    <w:qFormat/>
    <w:rPr>
      <w:shd w:fill="FFFF66" w:val="clear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Domylnaczcionkaakapitu">
    <w:name w:val="WW-Domyślna czcionka akapitu"/>
    <w:qFormat/>
    <w:rPr/>
  </w:style>
  <w:style w:type="character" w:styleId="Domylnaczcionkaakapitu">
    <w:name w:val="Domyślna czcionka akapitu"/>
    <w:qFormat/>
    <w:rPr/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Wyrnienie">
    <w:name w:val="Wyróżnienie"/>
    <w:qFormat/>
    <w:rPr>
      <w:b/>
      <w:i w:val="false"/>
      <w:iCs/>
    </w:rPr>
  </w:style>
  <w:style w:type="character" w:styleId="Tekstrdowy">
    <w:name w:val="Tekst źródłowy"/>
    <w:qFormat/>
    <w:rPr>
      <w:rFonts w:ascii="Courier New" w:hAnsi="Courier New" w:eastAsia="Courier New" w:cs="Courier New"/>
    </w:rPr>
  </w:style>
  <w:style w:type="character" w:styleId="UMWyrniony1">
    <w:name w:val="UM_Wyróżniony"/>
    <w:basedOn w:val="Wyrnienie"/>
    <w:qFormat/>
    <w:rPr>
      <w:rFonts w:ascii="Arial" w:hAnsi="Arial"/>
      <w:b/>
      <w:spacing w:val="0"/>
      <w:w w:val="100"/>
    </w:rPr>
  </w:style>
  <w:style w:type="character" w:styleId="UMRozdzielnik">
    <w:name w:val="UM_Rozdzielnik"/>
    <w:qFormat/>
    <w:rPr>
      <w:i/>
    </w:rPr>
  </w:style>
  <w:style w:type="character" w:styleId="UMMae">
    <w:name w:val="UM_Małe"/>
    <w:qFormat/>
    <w:rPr>
      <w:sz w:val="22"/>
      <w:shd w:fill="auto" w:val="clear"/>
    </w:rPr>
  </w:style>
  <w:style w:type="character" w:styleId="Tekstnieproporcjonalny">
    <w:name w:val="Tekst nieproporcjonalny"/>
    <w:qFormat/>
    <w:rPr>
      <w:rFonts w:ascii="Arial" w:hAnsi="Arial" w:eastAsia="Courier New" w:cs="Courier New"/>
      <w:b/>
      <w:sz w:val="22"/>
    </w:rPr>
  </w:style>
  <w:style w:type="character" w:styleId="Mocnewyrnione">
    <w:name w:val="Mocne wyróżnione"/>
    <w:qFormat/>
    <w:rPr>
      <w:b/>
      <w:bCs/>
    </w:rPr>
  </w:style>
  <w:style w:type="character" w:styleId="Symbolzastpczy">
    <w:name w:val="Symbol zastępczy"/>
    <w:qFormat/>
    <w:rPr>
      <w:smallCaps/>
      <w:color w:val="008080"/>
      <w:u w:val="dotted"/>
    </w:rPr>
  </w:style>
  <w:style w:type="character" w:styleId="Czeinternetowe">
    <w:name w:val="Łącze internetowe"/>
    <w:rPr>
      <w:color w:val="000080"/>
      <w:u w:val="singl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/>
  </w:style>
  <w:style w:type="character" w:styleId="Zeichenformat">
    <w:name w:val="Zeichenforma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opka">
    <w:name w:val="Footer"/>
    <w:basedOn w:val="Normal"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UMZPTrescpunktu11pkt">
    <w:name w:val="UM_ZP_Tresc punktu 11pkt"/>
    <w:basedOn w:val="UMZPwniosekTresctekstu11"/>
    <w:next w:val="UMZPwniosekTresctekstu11"/>
    <w:qFormat/>
    <w:pPr>
      <w:suppressAutoHyphens w:val="true"/>
      <w:spacing w:before="20" w:after="0"/>
      <w:ind w:left="300" w:right="0" w:hanging="0"/>
      <w:outlineLvl w:val="2"/>
    </w:pPr>
    <w:rPr>
      <w:sz w:val="22"/>
    </w:rPr>
  </w:style>
  <w:style w:type="paragraph" w:styleId="UMZPwniosekTresctekstu11">
    <w:name w:val="UM_ZP_wniosek_Tresc tekstu_11"/>
    <w:basedOn w:val="Tretekstu"/>
    <w:qFormat/>
    <w:pPr>
      <w:widowControl w:val="false"/>
      <w:tabs>
        <w:tab w:val="clear" w:pos="408"/>
      </w:tabs>
      <w:spacing w:before="120" w:after="0"/>
      <w:ind w:left="0" w:right="0" w:hanging="0"/>
    </w:pPr>
    <w:rPr>
      <w:color w:val="auto"/>
      <w:sz w:val="22"/>
    </w:rPr>
  </w:style>
  <w:style w:type="paragraph" w:styleId="Tabela">
    <w:name w:val="Tabela"/>
    <w:basedOn w:val="Caption"/>
    <w:qFormat/>
    <w:pPr/>
    <w:rPr/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paragraph" w:styleId="SIWZpkt">
    <w:name w:val="SIWZ pkt"/>
    <w:basedOn w:val="Normal"/>
    <w:qFormat/>
    <w:pPr>
      <w:tabs>
        <w:tab w:val="clear" w:pos="408"/>
      </w:tabs>
      <w:spacing w:before="567" w:after="283"/>
      <w:ind w:left="0" w:right="0" w:hanging="0"/>
    </w:pPr>
    <w:rPr>
      <w:b/>
    </w:rPr>
  </w:style>
  <w:style w:type="paragraph" w:styleId="UMTretekstumaadolewej">
    <w:name w:val="UM_Treść tekstu mała do lewej"/>
    <w:basedOn w:val="UMTretekstumaa"/>
    <w:qFormat/>
    <w:pPr>
      <w:ind w:left="552" w:right="0" w:hanging="0"/>
      <w:jc w:val="left"/>
    </w:pPr>
    <w:rPr/>
  </w:style>
  <w:style w:type="paragraph" w:styleId="UMPodpisylista">
    <w:name w:val="UM_Podpisy lista"/>
    <w:basedOn w:val="UMPodpisy"/>
    <w:qFormat/>
    <w:pPr>
      <w:tabs>
        <w:tab w:val="clear" w:pos="4652"/>
        <w:tab w:val="clear" w:pos="7844"/>
        <w:tab w:val="left" w:pos="1460" w:leader="none"/>
        <w:tab w:val="left" w:pos="4752" w:leader="none"/>
        <w:tab w:val="center" w:pos="8066" w:leader="none"/>
      </w:tabs>
    </w:pPr>
    <w:rPr/>
  </w:style>
  <w:style w:type="paragraph" w:styleId="UMTretekstuwyrodkowana">
    <w:name w:val="UM_Treść tekstu wyśrodkowana"/>
    <w:basedOn w:val="UMTretekstu"/>
    <w:qFormat/>
    <w:pPr>
      <w:ind w:left="0" w:right="0" w:hanging="0"/>
      <w:jc w:val="center"/>
    </w:pPr>
    <w:rPr/>
  </w:style>
  <w:style w:type="paragraph" w:styleId="UMTretekstuwcitanazwapola">
    <w:name w:val="UM_Treść tekstu wcięta nazwa pola"/>
    <w:basedOn w:val="UMTretekstu"/>
    <w:qFormat/>
    <w:pPr>
      <w:ind w:left="276" w:right="0" w:hanging="0"/>
    </w:pPr>
    <w:rPr>
      <w:sz w:val="20"/>
    </w:rPr>
  </w:style>
  <w:style w:type="paragraph" w:styleId="UMNagwekpismakomisja">
    <w:name w:val="UM_Nagłówek pisma_komisja"/>
    <w:basedOn w:val="UMNagwekpismawydzia"/>
    <w:qFormat/>
    <w:pPr/>
    <w:rPr>
      <w:b/>
      <w:sz w:val="28"/>
    </w:rPr>
  </w:style>
  <w:style w:type="paragraph" w:styleId="UMZawartonagwkamaa">
    <w:name w:val="UM_Zawartość nagłówka mała"/>
    <w:basedOn w:val="Zawartotabeli"/>
    <w:qFormat/>
    <w:pPr>
      <w:jc w:val="center"/>
    </w:pPr>
    <w:rPr>
      <w:b w:val="false"/>
      <w:sz w:val="18"/>
    </w:rPr>
  </w:style>
  <w:style w:type="paragraph" w:styleId="UMPodpisymae">
    <w:name w:val="UM_Podpisy małe"/>
    <w:basedOn w:val="UMPodpisy"/>
    <w:qFormat/>
    <w:pPr>
      <w:spacing w:before="0" w:after="0"/>
    </w:pPr>
    <w:rPr>
      <w:sz w:val="18"/>
    </w:rPr>
  </w:style>
  <w:style w:type="paragraph" w:styleId="UMNagwekStronakolejna">
    <w:name w:val="UM_Nagłówek_Strona kolejna"/>
    <w:basedOn w:val="UMNagwekStronapierwsza"/>
    <w:qFormat/>
    <w:pPr/>
    <w:rPr/>
  </w:style>
  <w:style w:type="paragraph" w:styleId="UMTretekstuwysunitadolewejmaa">
    <w:name w:val="UM_Treść tekstu wysunięta do lewej mała"/>
    <w:basedOn w:val="UMTretekstuwysunitadolewej"/>
    <w:qFormat/>
    <w:pPr/>
    <w:rPr>
      <w:sz w:val="18"/>
    </w:rPr>
  </w:style>
  <w:style w:type="paragraph" w:styleId="UMTytu4">
    <w:name w:val="UM_Tytuł_4"/>
    <w:basedOn w:val="UMTytu3"/>
    <w:qFormat/>
    <w:pPr>
      <w:pBdr>
        <w:top w:val="nil"/>
      </w:pBdr>
    </w:pPr>
    <w:rPr>
      <w:i/>
      <w:sz w:val="24"/>
    </w:rPr>
  </w:style>
  <w:style w:type="paragraph" w:styleId="UMTretekstumaa">
    <w:name w:val="UM_Treść tekstu mała"/>
    <w:basedOn w:val="UMTretekstu"/>
    <w:qFormat/>
    <w:pPr/>
    <w:rPr>
      <w:sz w:val="18"/>
    </w:rPr>
  </w:style>
  <w:style w:type="paragraph" w:styleId="UMOpiniuj">
    <w:name w:val="UM_Opiniuję"/>
    <w:basedOn w:val="UMTretekstu"/>
    <w:qFormat/>
    <w:pPr>
      <w:tabs>
        <w:tab w:val="left" w:pos="2160" w:leader="none"/>
        <w:tab w:val="left" w:pos="5040" w:leader="none"/>
      </w:tabs>
      <w:ind w:left="0" w:right="0" w:hanging="0"/>
      <w:jc w:val="left"/>
    </w:pPr>
    <w:rPr/>
  </w:style>
  <w:style w:type="paragraph" w:styleId="UMPodpisy">
    <w:name w:val="UM_Podpisy"/>
    <w:basedOn w:val="UMTretekstu"/>
    <w:qFormat/>
    <w:pPr>
      <w:tabs>
        <w:tab w:val="center" w:pos="1460" w:leader="none"/>
        <w:tab w:val="center" w:pos="4652" w:leader="none"/>
        <w:tab w:val="center" w:pos="7844" w:leader="none"/>
      </w:tabs>
      <w:spacing w:before="276" w:after="0"/>
      <w:ind w:left="0" w:right="0" w:hanging="0"/>
      <w:jc w:val="left"/>
    </w:pPr>
    <w:rPr>
      <w:sz w:val="24"/>
    </w:rPr>
  </w:style>
  <w:style w:type="paragraph" w:styleId="UMTretekstuwysunitadolewej">
    <w:name w:val="UM_Treść tekstu wysunięta do lewej"/>
    <w:basedOn w:val="UMTretekstu"/>
    <w:qFormat/>
    <w:pPr>
      <w:ind w:left="552" w:right="0" w:hanging="276"/>
      <w:jc w:val="left"/>
    </w:pPr>
    <w:rPr/>
  </w:style>
  <w:style w:type="paragraph" w:styleId="UMTytu3">
    <w:name w:val="UM_Tytuł_3"/>
    <w:basedOn w:val="UMTytu2"/>
    <w:qFormat/>
    <w:pPr>
      <w:pBdr>
        <w:top w:val="single" w:sz="2" w:space="0" w:color="000000"/>
      </w:pBdr>
      <w:suppressAutoHyphens w:val="true"/>
      <w:spacing w:before="138" w:after="138"/>
      <w:jc w:val="left"/>
    </w:pPr>
    <w:rPr>
      <w:caps w:val="false"/>
      <w:smallCaps w:val="false"/>
    </w:rPr>
  </w:style>
  <w:style w:type="paragraph" w:styleId="UMRozdzielnik1">
    <w:name w:val="UM_Rozdzielnik"/>
    <w:basedOn w:val="UMTretekstu"/>
    <w:qFormat/>
    <w:pPr>
      <w:spacing w:before="276" w:after="0"/>
    </w:pPr>
    <w:rPr>
      <w:sz w:val="18"/>
    </w:rPr>
  </w:style>
  <w:style w:type="paragraph" w:styleId="UMTrepunktumaa">
    <w:name w:val="UM_Treść punktu mała"/>
    <w:basedOn w:val="UMTrepunktu"/>
    <w:qFormat/>
    <w:pPr/>
    <w:rPr>
      <w:sz w:val="18"/>
    </w:rPr>
  </w:style>
  <w:style w:type="paragraph" w:styleId="UMNagwekStronapierwsza">
    <w:name w:val="UM_Nagłówek_Strona pierwsza"/>
    <w:basedOn w:val="Gwka"/>
    <w:qFormat/>
    <w:pPr>
      <w:spacing w:before="0" w:after="0"/>
      <w:jc w:val="center"/>
    </w:pPr>
    <w:rPr>
      <w:sz w:val="24"/>
    </w:rPr>
  </w:style>
  <w:style w:type="paragraph" w:styleId="UMTytu2">
    <w:name w:val="UM_Tytuł_2"/>
    <w:basedOn w:val="UMTytu1"/>
    <w:qFormat/>
    <w:pPr>
      <w:spacing w:lineRule="auto" w:line="240"/>
      <w:jc w:val="center"/>
    </w:pPr>
    <w:rPr>
      <w:caps/>
    </w:rPr>
  </w:style>
  <w:style w:type="paragraph" w:styleId="UMTytu1">
    <w:name w:val="UM_Tytuł_1"/>
    <w:basedOn w:val="Tretekstu"/>
    <w:qFormat/>
    <w:pPr>
      <w:tabs>
        <w:tab w:val="clear" w:pos="408"/>
      </w:tabs>
      <w:spacing w:lineRule="auto" w:line="360" w:before="0" w:after="276"/>
      <w:ind w:left="0" w:right="0" w:hanging="0"/>
      <w:jc w:val="center"/>
    </w:pPr>
    <w:rPr>
      <w:b/>
      <w:sz w:val="24"/>
    </w:rPr>
  </w:style>
  <w:style w:type="paragraph" w:styleId="Wysunicie">
    <w:name w:val="Wysunięcie"/>
    <w:basedOn w:val="Tretekstu"/>
    <w:qFormat/>
    <w:pPr>
      <w:tabs>
        <w:tab w:val="clear" w:pos="408"/>
        <w:tab w:val="left" w:pos="0" w:leader="none"/>
      </w:tabs>
      <w:ind w:left="567" w:right="0" w:hanging="283"/>
    </w:pPr>
    <w:rPr/>
  </w:style>
  <w:style w:type="paragraph" w:styleId="UMTytu">
    <w:name w:val="UM_Tytuł"/>
    <w:basedOn w:val="Tretekstu"/>
    <w:qFormat/>
    <w:pPr>
      <w:keepNext w:val="true"/>
      <w:spacing w:before="278" w:after="278"/>
      <w:ind w:left="0" w:right="0" w:hanging="0"/>
      <w:jc w:val="center"/>
    </w:pPr>
    <w:rPr>
      <w:b/>
      <w:sz w:val="36"/>
    </w:rPr>
  </w:style>
  <w:style w:type="paragraph" w:styleId="UMStopkaStronakolejna">
    <w:name w:val="UM_Stopka_Strona kolejna"/>
    <w:basedOn w:val="Stopka"/>
    <w:qFormat/>
    <w:pPr>
      <w:tabs>
        <w:tab w:val="clear" w:pos="4536"/>
        <w:tab w:val="clear" w:pos="9072"/>
        <w:tab w:val="center" w:pos="4652" w:leader="none"/>
        <w:tab w:val="right" w:pos="9306" w:leader="none"/>
      </w:tabs>
      <w:jc w:val="left"/>
    </w:pPr>
    <w:rPr/>
  </w:style>
  <w:style w:type="paragraph" w:styleId="UMStopkaStronapierwsza">
    <w:name w:val="UM_Stopka_Strona pierwsza"/>
    <w:basedOn w:val="Stopka"/>
    <w:qFormat/>
    <w:pPr>
      <w:tabs>
        <w:tab w:val="clear" w:pos="4536"/>
        <w:tab w:val="clear" w:pos="9072"/>
        <w:tab w:val="center" w:pos="4654" w:leader="none"/>
        <w:tab w:val="right" w:pos="9306" w:leader="none"/>
      </w:tabs>
      <w:jc w:val="left"/>
    </w:pPr>
    <w:rPr/>
  </w:style>
  <w:style w:type="paragraph" w:styleId="Tekst">
    <w:name w:val="Tekst"/>
    <w:basedOn w:val="Caption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UMPodpis">
    <w:name w:val="UM_Podpis"/>
    <w:basedOn w:val="Lista"/>
    <w:qFormat/>
    <w:pPr>
      <w:tabs>
        <w:tab w:val="clear" w:pos="408"/>
        <w:tab w:val="center" w:pos="6480" w:leader="none"/>
      </w:tabs>
      <w:spacing w:before="276" w:after="0"/>
      <w:ind w:left="4654" w:right="0" w:hanging="0"/>
      <w:jc w:val="center"/>
    </w:pPr>
    <w:rPr>
      <w:i/>
    </w:rPr>
  </w:style>
  <w:style w:type="paragraph" w:styleId="UMAdresatzwrotgrzecznociowy">
    <w:name w:val="UM_Adresat_zwrot grzecznościowy"/>
    <w:basedOn w:val="UMTretekstu"/>
    <w:qFormat/>
    <w:pPr>
      <w:spacing w:before="0" w:after="276"/>
    </w:pPr>
    <w:rPr>
      <w:b w:val="false"/>
      <w:i/>
      <w:sz w:val="24"/>
    </w:rPr>
  </w:style>
  <w:style w:type="paragraph" w:styleId="UMTrepunktu">
    <w:name w:val="UM_Treść punktu"/>
    <w:basedOn w:val="UMTretekstu"/>
    <w:qFormat/>
    <w:pPr>
      <w:numPr>
        <w:ilvl w:val="0"/>
        <w:numId w:val="1"/>
      </w:numPr>
      <w:ind w:left="0" w:right="0" w:hanging="0"/>
    </w:pPr>
    <w:rPr>
      <w:color w:val="auto"/>
      <w:kern w:val="0"/>
    </w:rPr>
  </w:style>
  <w:style w:type="paragraph" w:styleId="ListNumber2">
    <w:name w:val="List Number 2"/>
    <w:basedOn w:val="Lista"/>
    <w:qFormat/>
    <w:pPr>
      <w:spacing w:before="0" w:after="120"/>
      <w:ind w:left="720" w:right="0" w:hanging="360"/>
    </w:pPr>
    <w:rPr/>
  </w:style>
  <w:style w:type="paragraph" w:styleId="UMTretekstu">
    <w:name w:val="UM_Treść tekstu"/>
    <w:basedOn w:val="Tretekstu"/>
    <w:qFormat/>
    <w:pPr>
      <w:widowControl w:val="false"/>
      <w:tabs>
        <w:tab w:val="clear" w:pos="408"/>
      </w:tabs>
      <w:ind w:left="0" w:right="0" w:firstLine="552"/>
    </w:pPr>
    <w:rPr>
      <w:color w:val="auto"/>
    </w:rPr>
  </w:style>
  <w:style w:type="paragraph" w:styleId="UMnr">
    <w:name w:val="UM_nr§"/>
    <w:basedOn w:val="Tretekstu"/>
    <w:next w:val="Tretekstu"/>
    <w:qFormat/>
    <w:pPr>
      <w:keepNext w:val="true"/>
      <w:numPr>
        <w:ilvl w:val="0"/>
        <w:numId w:val="1"/>
      </w:numPr>
      <w:spacing w:before="276" w:after="138"/>
      <w:jc w:val="center"/>
    </w:pPr>
    <w:rPr/>
  </w:style>
  <w:style w:type="paragraph" w:styleId="UMAdresat">
    <w:name w:val="UM_Adresat"/>
    <w:basedOn w:val="Normal"/>
    <w:qFormat/>
    <w:pPr>
      <w:tabs>
        <w:tab w:val="clear" w:pos="408"/>
        <w:tab w:val="right" w:pos="6980" w:leader="none"/>
      </w:tabs>
      <w:spacing w:lineRule="auto" w:line="360" w:before="552" w:after="552"/>
      <w:ind w:left="4654" w:right="0" w:hanging="0"/>
      <w:jc w:val="left"/>
    </w:pPr>
    <w:rPr>
      <w:b/>
      <w:sz w:val="24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Gwka"/>
    <w:next w:val="Podtytu"/>
    <w:qFormat/>
    <w:pPr>
      <w:keepNext w:val="false"/>
      <w:spacing w:before="0" w:after="0"/>
      <w:jc w:val="center"/>
    </w:pPr>
    <w:rPr>
      <w:b/>
      <w:bCs/>
      <w:sz w:val="24"/>
      <w:szCs w:val="3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UMStopkakolejnastrona">
    <w:name w:val="UM_Stopka_kolejna strona"/>
    <w:basedOn w:val="UMStopkapierwszastrona"/>
    <w:qFormat/>
    <w:pPr/>
    <w:rPr/>
  </w:style>
  <w:style w:type="paragraph" w:styleId="UMStopkapierwszastrona">
    <w:name w:val="UM_Stopka_ pierwsza strona"/>
    <w:basedOn w:val="Stopka"/>
    <w:qFormat/>
    <w:pPr>
      <w:tabs>
        <w:tab w:val="clear" w:pos="4536"/>
        <w:tab w:val="clear" w:pos="9072"/>
        <w:tab w:val="center" w:pos="4654" w:leader="none"/>
        <w:tab w:val="right" w:pos="9306" w:leader="none"/>
      </w:tabs>
    </w:pPr>
    <w:rPr/>
  </w:style>
  <w:style w:type="paragraph" w:styleId="UMNagwekpismaznakidata">
    <w:name w:val="UM_Nagłówek pisma_znak i data"/>
    <w:basedOn w:val="Tretekstu"/>
    <w:qFormat/>
    <w:pPr>
      <w:tabs>
        <w:tab w:val="clear" w:pos="408"/>
        <w:tab w:val="right" w:pos="9504" w:leader="none"/>
      </w:tabs>
      <w:ind w:left="0" w:right="0" w:hanging="0"/>
    </w:pPr>
    <w:rPr/>
  </w:style>
  <w:style w:type="paragraph" w:styleId="UMNagwekpismadaneteleadresowe">
    <w:name w:val="UM_Nagłówek pisma_dane teleadresowe"/>
    <w:basedOn w:val="Tretekstu"/>
    <w:qFormat/>
    <w:pPr>
      <w:ind w:left="0" w:right="0" w:hanging="0"/>
      <w:jc w:val="center"/>
    </w:pPr>
    <w:rPr>
      <w:sz w:val="18"/>
    </w:rPr>
  </w:style>
  <w:style w:type="paragraph" w:styleId="UMNagwekpismawydzia">
    <w:name w:val="UM_Nagłówek pisma_wydział"/>
    <w:basedOn w:val="Tretekstu"/>
    <w:qFormat/>
    <w:pPr>
      <w:spacing w:lineRule="auto" w:line="216"/>
      <w:ind w:left="0" w:right="0" w:hanging="0"/>
      <w:jc w:val="center"/>
    </w:pPr>
    <w:rPr/>
  </w:style>
  <w:style w:type="paragraph" w:styleId="UMNagwekpismaurzd">
    <w:name w:val="UM_Nagłówek pisma_urząd"/>
    <w:basedOn w:val="Gwka"/>
    <w:qFormat/>
    <w:pPr>
      <w:tabs>
        <w:tab w:val="clear" w:pos="408"/>
      </w:tabs>
      <w:spacing w:before="0" w:after="0"/>
      <w:jc w:val="center"/>
    </w:pPr>
    <w:rPr>
      <w:b/>
      <w:bCs/>
      <w:sz w:val="48"/>
      <w:szCs w:val="48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Zawartoramki">
    <w:name w:val="Zawartość ramki"/>
    <w:basedOn w:val="Tretekstu"/>
    <w:qFormat/>
    <w:pPr>
      <w:tabs>
        <w:tab w:val="clear" w:pos="408"/>
      </w:tabs>
      <w:spacing w:before="0" w:after="0"/>
      <w:ind w:left="283" w:right="0" w:hanging="283"/>
      <w:jc w:val="left"/>
    </w:pPr>
    <w:rPr>
      <w:b/>
      <w:sz w:val="26"/>
    </w:rPr>
  </w:style>
  <w:style w:type="paragraph" w:styleId="Stopkaprawa">
    <w:name w:val="Stopka prawa"/>
    <w:basedOn w:val="Normal"/>
    <w:qFormat/>
    <w:pPr>
      <w:suppressLineNumbers/>
      <w:tabs>
        <w:tab w:val="clear" w:pos="408"/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Stopkalewa">
    <w:name w:val="Stopka lewa"/>
    <w:basedOn w:val="Normal"/>
    <w:qFormat/>
    <w:pPr>
      <w:suppressLineNumbers/>
      <w:tabs>
        <w:tab w:val="clear" w:pos="408"/>
        <w:tab w:val="center" w:pos="5057" w:leader="none"/>
        <w:tab w:val="right" w:pos="10114" w:leader="none"/>
      </w:tabs>
    </w:pPr>
    <w:rPr>
      <w:rFonts w:ascii="Arial" w:hAnsi="Arial"/>
      <w:sz w:val="16"/>
    </w:rPr>
  </w:style>
  <w:style w:type="paragraph" w:styleId="Zwrotgrzecznociowy">
    <w:name w:val="Salutation"/>
    <w:basedOn w:val="Normal"/>
    <w:pPr>
      <w:suppressLineNumbers/>
    </w:pPr>
    <w:rPr/>
  </w:style>
  <w:style w:type="paragraph" w:styleId="Wcicietrecitekstu">
    <w:name w:val="Body Text Indent"/>
    <w:basedOn w:val="Tretekstu"/>
    <w:pPr>
      <w:ind w:left="283" w:right="0" w:hanging="0"/>
    </w:pPr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RTFNum2">
    <w:name w:val="RTF_Num 2"/>
    <w:qFormat/>
  </w:style>
  <w:style w:type="numbering" w:styleId="WW8Num3">
    <w:name w:val="WW8Num3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ZPnumeracja">
    <w:name w:val="ZP_numeracj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LibreOffice/7.0.4.2$Windows_X86_64 LibreOffice_project/dcf040e67528d9187c66b2379df5ea4407429775</Application>
  <AppVersion>15.0000</AppVersion>
  <Pages>3</Pages>
  <Words>304</Words>
  <Characters>1590</Characters>
  <CharactersWithSpaces>2056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2019-03-21T11:59:00Z</dcterms:created>
  <dc:creator>Katarzyna Blonska</dc:creator>
  <dc:description/>
  <dc:language>pl-PL</dc:language>
  <cp:lastModifiedBy/>
  <cp:lastPrinted>2016-06-14T09:48:00Z</cp:lastPrinted>
  <dcterms:modified xsi:type="dcterms:W3CDTF">2021-05-10T13:55:01Z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