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D80E13">
        <w:trPr>
          <w:trHeight w:val="313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26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04"/>
        </w:trPr>
        <w:tc>
          <w:tcPr>
            <w:tcW w:w="2142" w:type="dxa"/>
          </w:tcPr>
          <w:p w:rsidR="00793E72" w:rsidRPr="006A25B3" w:rsidRDefault="00793E72" w:rsidP="00D80E13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27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6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 xml:space="preserve">Formularz </w:t>
      </w:r>
      <w:r w:rsidR="00497221">
        <w:t>ofertowy – dostawa materiałów do relaksacji</w:t>
      </w:r>
      <w:bookmarkStart w:id="0" w:name="_GoBack"/>
      <w:bookmarkEnd w:id="0"/>
    </w:p>
    <w:p w:rsidR="00793E72" w:rsidRDefault="0079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6"/>
        <w:gridCol w:w="949"/>
        <w:gridCol w:w="1364"/>
        <w:gridCol w:w="904"/>
        <w:gridCol w:w="1364"/>
        <w:gridCol w:w="974"/>
        <w:gridCol w:w="851"/>
      </w:tblGrid>
      <w:tr w:rsidR="00793E72" w:rsidTr="00AD09F8">
        <w:tc>
          <w:tcPr>
            <w:tcW w:w="2656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Asortyment</w:t>
            </w:r>
          </w:p>
        </w:tc>
        <w:tc>
          <w:tcPr>
            <w:tcW w:w="949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ilość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</w:t>
            </w:r>
          </w:p>
          <w:p w:rsidR="00793E72" w:rsidRDefault="00793E72" w:rsidP="00D80E13">
            <w:pPr>
              <w:spacing w:line="276" w:lineRule="auto"/>
              <w:jc w:val="both"/>
            </w:pPr>
            <w:r>
              <w:t>netto</w:t>
            </w:r>
          </w:p>
        </w:tc>
        <w:tc>
          <w:tcPr>
            <w:tcW w:w="90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Stawka VAT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 brutto</w:t>
            </w:r>
          </w:p>
        </w:tc>
        <w:tc>
          <w:tcPr>
            <w:tcW w:w="97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netto</w:t>
            </w:r>
          </w:p>
        </w:tc>
        <w:tc>
          <w:tcPr>
            <w:tcW w:w="851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brutto</w:t>
            </w: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K</w:t>
            </w:r>
            <w:r w:rsidRPr="00893C02">
              <w:t xml:space="preserve">oc terapeutyczny, obciążający, </w:t>
            </w:r>
            <w:proofErr w:type="spellStart"/>
            <w:r w:rsidRPr="00893C02">
              <w:t>rozm</w:t>
            </w:r>
            <w:proofErr w:type="spellEnd"/>
            <w:r w:rsidRPr="00893C02">
              <w:t>. 90cmx120 cm ( +/- 20%), wypełnienie granulat szklany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3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K</w:t>
            </w:r>
            <w:r w:rsidRPr="00893C02">
              <w:t>ominek do olejków eterycznych biały, ceramiczny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1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O</w:t>
            </w:r>
            <w:r w:rsidRPr="00893C02">
              <w:t>lejki eteryczne zestaw mix zapachów 5 szt. (+/- 20 %)w opakowaniu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1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O</w:t>
            </w:r>
            <w:r w:rsidRPr="00893C02">
              <w:t>lejki eteryczne, pojemność  12 ml(+/- 50%) , różne zapachy, buteleczka szklana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20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lastRenderedPageBreak/>
              <w:t>P</w:t>
            </w:r>
            <w:r w:rsidRPr="00893C02">
              <w:t xml:space="preserve">odgrzewacze, 100 sztuk w opakowaniu, materiał wykonania wosk, białe bezzapachowe 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1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Ś</w:t>
            </w:r>
            <w:r w:rsidRPr="00893C02">
              <w:t>wieca zapachowa w szklanym pojemniku z pokrywką,  waga (pojemność) 700 g (+/- 50%), różne zapachy</w:t>
            </w:r>
          </w:p>
        </w:tc>
        <w:tc>
          <w:tcPr>
            <w:tcW w:w="949" w:type="dxa"/>
          </w:tcPr>
          <w:p w:rsidR="00AD09F8" w:rsidRPr="00893C02" w:rsidRDefault="00AD09F8" w:rsidP="00AD09F8">
            <w:r w:rsidRPr="00893C02">
              <w:t>9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AD09F8">
        <w:tc>
          <w:tcPr>
            <w:tcW w:w="2656" w:type="dxa"/>
          </w:tcPr>
          <w:p w:rsidR="00AD09F8" w:rsidRPr="00893C02" w:rsidRDefault="00AD09F8" w:rsidP="00AD09F8">
            <w:r>
              <w:t>Ś</w:t>
            </w:r>
            <w:r w:rsidRPr="00893C02">
              <w:t xml:space="preserve">wieczka biała gruba walec, wys. 10 cm (+/-20%), wosk </w:t>
            </w:r>
          </w:p>
        </w:tc>
        <w:tc>
          <w:tcPr>
            <w:tcW w:w="949" w:type="dxa"/>
          </w:tcPr>
          <w:p w:rsidR="00AD09F8" w:rsidRDefault="00AD09F8" w:rsidP="00AD09F8">
            <w:r w:rsidRPr="00893C02">
              <w:t>10</w:t>
            </w: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0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974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AD09F8" w:rsidRDefault="00AD09F8" w:rsidP="00AD09F8">
            <w:pPr>
              <w:spacing w:line="276" w:lineRule="auto"/>
              <w:jc w:val="both"/>
            </w:pPr>
          </w:p>
        </w:tc>
      </w:tr>
      <w:tr w:rsidR="00AD09F8" w:rsidTr="004A5999">
        <w:tc>
          <w:tcPr>
            <w:tcW w:w="4969" w:type="dxa"/>
            <w:gridSpan w:val="3"/>
          </w:tcPr>
          <w:p w:rsidR="00AD09F8" w:rsidRDefault="00AD09F8" w:rsidP="00AD09F8">
            <w:pPr>
              <w:spacing w:line="276" w:lineRule="auto"/>
              <w:jc w:val="both"/>
            </w:pPr>
            <w:r>
              <w:t>RAZEM:</w:t>
            </w:r>
          </w:p>
          <w:p w:rsidR="00AD09F8" w:rsidRDefault="00AD09F8" w:rsidP="00AD09F8">
            <w:pPr>
              <w:spacing w:line="276" w:lineRule="auto"/>
              <w:jc w:val="both"/>
            </w:pPr>
          </w:p>
          <w:p w:rsidR="00AD09F8" w:rsidRDefault="00AD09F8" w:rsidP="00AD09F8">
            <w:pPr>
              <w:spacing w:line="276" w:lineRule="auto"/>
              <w:jc w:val="both"/>
            </w:pPr>
          </w:p>
        </w:tc>
        <w:tc>
          <w:tcPr>
            <w:tcW w:w="2268" w:type="dxa"/>
            <w:gridSpan w:val="2"/>
          </w:tcPr>
          <w:p w:rsidR="00AD09F8" w:rsidRDefault="00AD09F8" w:rsidP="00AD09F8">
            <w:pPr>
              <w:spacing w:line="276" w:lineRule="auto"/>
              <w:jc w:val="both"/>
            </w:pPr>
            <w:r>
              <w:t>Netto:</w:t>
            </w:r>
          </w:p>
        </w:tc>
        <w:tc>
          <w:tcPr>
            <w:tcW w:w="1825" w:type="dxa"/>
            <w:gridSpan w:val="2"/>
          </w:tcPr>
          <w:p w:rsidR="00AD09F8" w:rsidRDefault="00AD09F8" w:rsidP="00AD09F8">
            <w:pPr>
              <w:spacing w:line="276" w:lineRule="auto"/>
              <w:jc w:val="both"/>
            </w:pPr>
            <w:r>
              <w:t>Brutto:</w:t>
            </w:r>
          </w:p>
        </w:tc>
      </w:tr>
    </w:tbl>
    <w:p w:rsidR="00793E72" w:rsidRDefault="00793E72"/>
    <w:sectPr w:rsidR="00793E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4B" w:rsidRDefault="00455E4B" w:rsidP="00793E72">
      <w:pPr>
        <w:spacing w:after="0" w:line="240" w:lineRule="auto"/>
      </w:pPr>
      <w:r>
        <w:separator/>
      </w:r>
    </w:p>
  </w:endnote>
  <w:endnote w:type="continuationSeparator" w:id="0">
    <w:p w:rsidR="00455E4B" w:rsidRDefault="00455E4B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72" w:rsidRDefault="00793E72" w:rsidP="00793E72">
    <w:pPr>
      <w:pStyle w:val="Stopka"/>
      <w:jc w:val="center"/>
    </w:pPr>
    <w:r w:rsidRPr="00793E72">
      <w:rPr>
        <w:noProof/>
        <w:lang w:eastAsia="pl-PL"/>
      </w:rPr>
      <w:drawing>
        <wp:inline distT="0" distB="0" distL="0" distR="0" wp14:anchorId="5E1C0B3F" wp14:editId="74E850EA">
          <wp:extent cx="463867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E72" w:rsidRDefault="00793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4B" w:rsidRDefault="00455E4B" w:rsidP="00793E72">
      <w:pPr>
        <w:spacing w:after="0" w:line="240" w:lineRule="auto"/>
      </w:pPr>
      <w:r>
        <w:separator/>
      </w:r>
    </w:p>
  </w:footnote>
  <w:footnote w:type="continuationSeparator" w:id="0">
    <w:p w:rsidR="00455E4B" w:rsidRDefault="00455E4B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041FAF"/>
    <w:rsid w:val="00116E2C"/>
    <w:rsid w:val="002C3020"/>
    <w:rsid w:val="002D5B90"/>
    <w:rsid w:val="00455E4B"/>
    <w:rsid w:val="00497221"/>
    <w:rsid w:val="00793E72"/>
    <w:rsid w:val="00A10F26"/>
    <w:rsid w:val="00AD09F8"/>
    <w:rsid w:val="00C71B84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CE05-11DB-4E4A-9381-C05F1CE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Izabela Tkaczyk</cp:lastModifiedBy>
  <cp:revision>3</cp:revision>
  <dcterms:created xsi:type="dcterms:W3CDTF">2019-09-13T10:50:00Z</dcterms:created>
  <dcterms:modified xsi:type="dcterms:W3CDTF">2019-09-13T10:51:00Z</dcterms:modified>
</cp:coreProperties>
</file>