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8" w:rsidRPr="001835B3" w:rsidRDefault="00C73C88" w:rsidP="003625EE">
      <w:pPr>
        <w:pStyle w:val="Nagwek1"/>
        <w:spacing w:before="360" w:after="120"/>
        <w:ind w:left="567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625EE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1835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817"/>
        <w:gridCol w:w="1569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A54E53">
        <w:rPr>
          <w:rFonts w:asciiTheme="minorHAnsi" w:hAnsiTheme="minorHAnsi" w:cstheme="minorHAnsi"/>
          <w:i/>
          <w:szCs w:val="22"/>
        </w:rPr>
        <w:t xml:space="preserve">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we wniosku o </w:t>
      </w:r>
      <w:proofErr w:type="spellStart"/>
      <w:r w:rsidR="00C550A1">
        <w:rPr>
          <w:rFonts w:asciiTheme="minorHAnsi" w:hAnsiTheme="minorHAnsi" w:cstheme="minorHAnsi"/>
          <w:i/>
          <w:szCs w:val="22"/>
        </w:rPr>
        <w:t>przyznaniedotacji</w:t>
      </w:r>
      <w:proofErr w:type="spellEnd"/>
      <w:r w:rsidR="00C550A1">
        <w:rPr>
          <w:rFonts w:asciiTheme="minorHAnsi" w:hAnsiTheme="minorHAnsi" w:cstheme="minorHAnsi"/>
          <w:i/>
          <w:szCs w:val="22"/>
        </w:rPr>
        <w:t>/umowie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p w:rsidR="00264EFD" w:rsidRPr="00421795" w:rsidRDefault="001B0FC2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Weryfikacja odsetek nastąpiła na podstawie </w:t>
      </w:r>
      <w:r w:rsidR="005F12CE" w:rsidRPr="00421795">
        <w:rPr>
          <w:rFonts w:asciiTheme="minorHAnsi" w:hAnsiTheme="minorHAnsi" w:cstheme="minorHAnsi"/>
          <w:szCs w:val="22"/>
        </w:rPr>
        <w:t>wyciągów bankowych.</w:t>
      </w:r>
    </w:p>
    <w:tbl>
      <w:tblPr>
        <w:tblStyle w:val="Tabela-Siatka"/>
        <w:tblW w:w="89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CB4989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CB4989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CB4989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 po pomniejszeniu o wydatki niekwalifikowalne (</w:t>
            </w:r>
            <w:r w:rsidR="00CB4989">
              <w:rPr>
                <w:rFonts w:asciiTheme="minorHAnsi" w:hAnsiTheme="minorHAnsi" w:cstheme="minorHAnsi"/>
                <w:szCs w:val="22"/>
              </w:rPr>
              <w:t>D</w:t>
            </w:r>
            <w:r w:rsidRPr="00421795">
              <w:rPr>
                <w:rFonts w:asciiTheme="minorHAnsi" w:hAnsiTheme="minorHAnsi" w:cstheme="minorHAnsi"/>
                <w:szCs w:val="22"/>
              </w:rPr>
              <w:t>-C)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1A70EA">
      <w:footerReference w:type="default" r:id="rId8"/>
      <w:pgSz w:w="11907" w:h="16839" w:code="9"/>
      <w:pgMar w:top="1134" w:right="1418" w:bottom="1417" w:left="1418" w:header="567" w:footer="5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B0" w:rsidRDefault="00C25CB0">
      <w:r>
        <w:separator/>
      </w:r>
    </w:p>
  </w:endnote>
  <w:endnote w:type="continuationSeparator" w:id="0">
    <w:p w:rsidR="00C25CB0" w:rsidRDefault="00C2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1207F1" w:rsidP="00A54E53">
    <w:pPr>
      <w:pStyle w:val="Stopka"/>
      <w:pBdr>
        <w:top w:val="single" w:sz="6" w:space="0" w:color="auto"/>
      </w:pBd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4064029</wp:posOffset>
          </wp:positionH>
          <wp:positionV relativeFrom="paragraph">
            <wp:posOffset>-468719</wp:posOffset>
          </wp:positionV>
          <wp:extent cx="1477645" cy="688340"/>
          <wp:effectExtent l="0" t="0" r="825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88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-494369</wp:posOffset>
          </wp:positionV>
          <wp:extent cx="1190625" cy="842010"/>
          <wp:effectExtent l="0" t="0" r="9525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2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180754</wp:posOffset>
          </wp:positionH>
          <wp:positionV relativeFrom="paragraph">
            <wp:posOffset>-472351</wp:posOffset>
          </wp:positionV>
          <wp:extent cx="977900" cy="6451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45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B0" w:rsidRDefault="00C25CB0">
      <w:r>
        <w:separator/>
      </w:r>
    </w:p>
  </w:footnote>
  <w:footnote w:type="continuationSeparator" w:id="0">
    <w:p w:rsidR="00C25CB0" w:rsidRDefault="00C2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207F1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1E32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A70EA"/>
    <w:rsid w:val="001B01DB"/>
    <w:rsid w:val="001B0348"/>
    <w:rsid w:val="001B067A"/>
    <w:rsid w:val="001B0FC2"/>
    <w:rsid w:val="001B1394"/>
    <w:rsid w:val="001B4655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255C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76507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25EE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2964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46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1CA7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5CB0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98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DB893477-D831-40A8-AD68-F5A25E7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AD96-DEB8-4170-9D2B-8B8CEEDF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Konrad Mazurkiewicz</cp:lastModifiedBy>
  <cp:revision>3</cp:revision>
  <cp:lastPrinted>2016-10-07T12:01:00Z</cp:lastPrinted>
  <dcterms:created xsi:type="dcterms:W3CDTF">2019-02-22T11:22:00Z</dcterms:created>
  <dcterms:modified xsi:type="dcterms:W3CDTF">2019-02-22T13:07:00Z</dcterms:modified>
</cp:coreProperties>
</file>