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240"/>
        <w:rPr>
          <w:rFonts w:ascii="Times New Roman" w:hAnsi="Times New Roman" w:eastAsia="Times New Roman" w:cs="Times New Roman"/>
        </w:rPr>
      </w:pPr>
      <w:r>
        <w:rPr>
          <w:rFonts w:eastAsia="Times New Roman" w:cs="Times New Roman" w:ascii="Times New Roman" w:hAnsi="Times New Roman"/>
        </w:rPr>
        <w:t xml:space="preserve"> </w:t>
      </w:r>
    </w:p>
    <w:tbl>
      <w:tblPr>
        <w:tblStyle w:val="Table1"/>
        <w:tblW w:w="9025" w:type="dxa"/>
        <w:jc w:val="left"/>
        <w:tblInd w:w="0" w:type="dxa"/>
        <w:tblLayout w:type="fixed"/>
        <w:tblCellMar>
          <w:top w:w="40" w:type="dxa"/>
          <w:left w:w="40" w:type="dxa"/>
          <w:bottom w:w="40" w:type="dxa"/>
          <w:right w:w="40" w:type="dxa"/>
        </w:tblCellMar>
        <w:tblLook w:val="0600"/>
      </w:tblPr>
      <w:tblGrid>
        <w:gridCol w:w="1868"/>
        <w:gridCol w:w="627"/>
        <w:gridCol w:w="2096"/>
        <w:gridCol w:w="2156"/>
        <w:gridCol w:w="2278"/>
      </w:tblGrid>
      <w:tr>
        <w:trPr>
          <w:trHeight w:val="315" w:hRule="atLeast"/>
        </w:trPr>
        <w:tc>
          <w:tcPr>
            <w:tcW w:w="9025" w:type="dxa"/>
            <w:gridSpan w:val="5"/>
            <w:tcBorders>
              <w:top w:val="single" w:sz="8" w:space="0" w:color="000000"/>
              <w:left w:val="single" w:sz="8" w:space="0" w:color="000000"/>
              <w:bottom w:val="single" w:sz="8" w:space="0" w:color="000000"/>
              <w:right w:val="single" w:sz="8" w:space="0" w:color="000000"/>
            </w:tcBorders>
            <w:vAlign w:val="bottom"/>
          </w:tcPr>
          <w:p>
            <w:pPr>
              <w:pStyle w:val="LOnormal"/>
              <w:widowControl w:val="false"/>
              <w:jc w:val="center"/>
              <w:rPr>
                <w:rFonts w:ascii="Arial" w:hAnsi="Arial" w:eastAsia="Times New Roman" w:cs="Times New Roman"/>
                <w:b/>
                <w:b/>
                <w:sz w:val="20"/>
                <w:szCs w:val="20"/>
              </w:rPr>
            </w:pPr>
            <w:r>
              <w:rPr>
                <w:rFonts w:eastAsia="Times New Roman" w:cs="Times New Roman"/>
                <w:b/>
                <w:sz w:val="20"/>
                <w:szCs w:val="20"/>
              </w:rPr>
              <w:t>Informacje podstawowe</w:t>
            </w:r>
          </w:p>
        </w:tc>
      </w:tr>
      <w:tr>
        <w:trPr>
          <w:trHeight w:val="3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Temat konsultacji</w:t>
            </w:r>
          </w:p>
        </w:tc>
        <w:tc>
          <w:tcPr>
            <w:tcW w:w="7157" w:type="dxa"/>
            <w:gridSpan w:val="4"/>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Konsultacje propozycji zagospodarowania skweru</w:t>
            </w:r>
          </w:p>
        </w:tc>
      </w:tr>
      <w:tr>
        <w:trPr>
          <w:trHeight w:val="55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Tytuł zgłoszonego projektu</w:t>
            </w:r>
          </w:p>
        </w:tc>
        <w:tc>
          <w:tcPr>
            <w:tcW w:w="7157" w:type="dxa"/>
            <w:gridSpan w:val="4"/>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b/>
                <w:sz w:val="20"/>
                <w:szCs w:val="20"/>
              </w:rPr>
              <w:t xml:space="preserve">ZB2022-50 „Skwery kieszeniowe na dzielnicy Dziesiąta - kontynuacja (2 lokalizacje)” </w:t>
            </w:r>
          </w:p>
        </w:tc>
      </w:tr>
      <w:tr>
        <w:trPr>
          <w:trHeight w:val="3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Lokalizacja spotkania</w:t>
            </w:r>
          </w:p>
        </w:tc>
        <w:tc>
          <w:tcPr>
            <w:tcW w:w="7157" w:type="dxa"/>
            <w:gridSpan w:val="4"/>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Budynek szkoły na ul. Mickiewicza</w:t>
            </w:r>
          </w:p>
        </w:tc>
      </w:tr>
      <w:tr>
        <w:trPr>
          <w:trHeight w:val="3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Data</w:t>
            </w:r>
          </w:p>
        </w:tc>
        <w:tc>
          <w:tcPr>
            <w:tcW w:w="7157" w:type="dxa"/>
            <w:gridSpan w:val="4"/>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b/>
                <w:sz w:val="20"/>
                <w:szCs w:val="20"/>
              </w:rPr>
              <w:t>27 maja (piątek)</w:t>
            </w:r>
            <w:r>
              <w:rPr>
                <w:rFonts w:eastAsia="Times New Roman" w:cs="Times New Roman"/>
                <w:sz w:val="20"/>
                <w:szCs w:val="20"/>
              </w:rPr>
              <w:t>, godz. 17.00-18.15</w:t>
            </w:r>
          </w:p>
        </w:tc>
      </w:tr>
      <w:tr>
        <w:trPr>
          <w:trHeight w:val="55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Ilość uczestników i uczestniczek</w:t>
            </w:r>
          </w:p>
        </w:tc>
        <w:tc>
          <w:tcPr>
            <w:tcW w:w="7157" w:type="dxa"/>
            <w:gridSpan w:val="4"/>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1 osoba z Rady Dzielnicy, przedstawicielki Wydziału Zieleni i Gospodarki Komunalnej oraz Biura Partycypacji: 5 osób</w:t>
            </w:r>
          </w:p>
        </w:tc>
      </w:tr>
      <w:tr>
        <w:trPr>
          <w:trHeight w:val="3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b/>
                <w:b/>
                <w:sz w:val="20"/>
                <w:szCs w:val="20"/>
              </w:rPr>
            </w:pPr>
            <w:r>
              <w:rPr>
                <w:rFonts w:eastAsia="Times New Roman" w:cs="Times New Roman"/>
                <w:b/>
                <w:sz w:val="20"/>
                <w:szCs w:val="20"/>
              </w:rPr>
              <w:t>ul. Reymonta</w:t>
            </w:r>
          </w:p>
        </w:tc>
      </w:tr>
      <w:tr>
        <w:trPr>
          <w:trHeight w:val="3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b/>
                <w:b/>
                <w:sz w:val="20"/>
                <w:szCs w:val="20"/>
              </w:rPr>
            </w:pPr>
            <w:r>
              <w:rPr>
                <w:rFonts w:eastAsia="Times New Roman" w:cs="Times New Roman"/>
                <w:b/>
                <w:sz w:val="20"/>
                <w:szCs w:val="20"/>
              </w:rPr>
              <w:t>Informacje diagnostyczne na temat lokalizacji</w:t>
            </w:r>
          </w:p>
        </w:tc>
      </w:tr>
      <w:tr>
        <w:trPr>
          <w:trHeight w:val="55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1.</w:t>
            </w:r>
          </w:p>
        </w:tc>
        <w:tc>
          <w:tcPr>
            <w:tcW w:w="6530" w:type="dxa"/>
            <w:gridSpan w:val="3"/>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Miejsce znajduje się pomiędzy szkołą a blokiem, na trasie do kościoła z jednej strony i do sklepu (Lidl) z drugiej. Jest to zamknięta ulica  (ślepa od strony ul. Kunickiego). Fragment ulicy podlegający opracowaniu oddzielony jest od pozostałej części ulicy schodkiem, co chroni go przed wjeżdżaniem parkujących samochodów. Nieopodal znajduje się przystanek autobusowy (bez zapewnionego cienia). Teren posiada nową nawierzchnię. </w:t>
            </w:r>
          </w:p>
        </w:tc>
      </w:tr>
      <w:tr>
        <w:trPr>
          <w:trHeight w:val="642"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2.</w:t>
            </w:r>
          </w:p>
        </w:tc>
        <w:tc>
          <w:tcPr>
            <w:tcW w:w="6530" w:type="dxa"/>
            <w:gridSpan w:val="3"/>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Po obu stronach terenu skweru rosną szpalery drzew (lipy). Teren dzięki drzewom jest zacieniony. </w:t>
            </w:r>
          </w:p>
        </w:tc>
      </w:tr>
      <w:tr>
        <w:trPr>
          <w:trHeight w:val="676"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3.</w:t>
            </w:r>
          </w:p>
        </w:tc>
        <w:tc>
          <w:tcPr>
            <w:tcW w:w="6530" w:type="dxa"/>
            <w:gridSpan w:val="3"/>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Celem realizacji jest poprawienie estetyki, urozmaicenie okolicy i konsekwentne działanie na rzecz realizacji sieci skwerów kieszonkowych w dzielnicy Dziesiąta.</w:t>
            </w:r>
          </w:p>
        </w:tc>
      </w:tr>
      <w:tr>
        <w:trPr>
          <w:trHeight w:val="807"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4.</w:t>
            </w:r>
          </w:p>
        </w:tc>
        <w:tc>
          <w:tcPr>
            <w:tcW w:w="6530" w:type="dxa"/>
            <w:gridSpan w:val="3"/>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W niedalekiej odległości (po drugiej strony szkoły) jest zlokalizowany punkt gastronomiczny, natomiast, co korzystne, nigdzie blisko nie ma sklepu z alkoholem.</w:t>
            </w:r>
          </w:p>
        </w:tc>
      </w:tr>
      <w:tr>
        <w:trPr>
          <w:trHeight w:val="3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b/>
                <w:b/>
                <w:sz w:val="20"/>
                <w:szCs w:val="20"/>
              </w:rPr>
            </w:pPr>
            <w:r>
              <w:rPr>
                <w:rFonts w:eastAsia="Times New Roman" w:cs="Times New Roman"/>
                <w:b/>
                <w:sz w:val="20"/>
                <w:szCs w:val="20"/>
              </w:rPr>
              <w:t>Zestawienie  uwag</w:t>
            </w:r>
          </w:p>
        </w:tc>
      </w:tr>
      <w:tr>
        <w:trPr>
          <w:trHeight w:val="55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 xml:space="preserve">Kategoria tematyczna </w:t>
            </w:r>
            <w:r>
              <w:rPr>
                <w:rFonts w:eastAsia="Times New Roman" w:cs="Times New Roman"/>
                <w:b/>
                <w:color w:val="auto"/>
                <w:kern w:val="0"/>
                <w:sz w:val="20"/>
                <w:szCs w:val="20"/>
                <w:lang w:val="pl-PL" w:eastAsia="zh-CN" w:bidi="hi-IN"/>
              </w:rPr>
              <w:t>uwag</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Lp.</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Treść uwag</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Status uwag</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Odpowiedzi na uwagi</w:t>
            </w:r>
          </w:p>
        </w:tc>
      </w:tr>
      <w:tr>
        <w:trPr>
          <w:trHeight w:val="88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Rośliny</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1.</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Sugestia, żeby wydłużyć nasadzenia na zewnętrznych trawnikach, dalej niż obecnie wyznaczone 8-9 metrów (tak daleko jak to możliwe).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Ławka</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2. </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Sugestia, żeby ławka była bez oparcia. Miejsce ma być przeznaczone na krótki odpoczynek. Istnieje też obawa, że w przypadku wygodnych ławek niepożądane osoby będą tam w nocy długo przesiadywać i zakłócać spokój mieszkańcom pobliskiego bloku.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3.</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Sugestia, żeby ławki były podobne do tych, które zostały już umiejscowione w dzielnicy (ujednolicenie charakteru skwerów przy Kunickiego).</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4.</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Ogólne poparcie dla koncepcji i wskazanie, że ławki w tym miejscu będą bardzo przydatne.</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5.</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Wyrażono obawę, że spadź z lipy będzie brudzić ławkę. Sugestia o potrzebie zapewnienia utrzymania porządku i czystości ławek.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6.</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Sugestia, żeby była jedna ławka dwustronna, ustawiona pośrodku ulicy, w jej końcowym, ślepym fragmencie.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nieuwzględniona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Dwie ławki zapewniają komfort oraz</w:t>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Nazwa skweru</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7.</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Wskazano, że nazwę skweru można będzie wyłonić poprzez konkurs w SP nr 1.</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b/>
                <w:b/>
                <w:sz w:val="20"/>
                <w:szCs w:val="20"/>
              </w:rPr>
            </w:pPr>
            <w:r>
              <w:rPr>
                <w:rFonts w:eastAsia="Times New Roman" w:cs="Times New Roman"/>
                <w:b/>
                <w:sz w:val="20"/>
                <w:szCs w:val="20"/>
              </w:rPr>
              <w:t>ul. Reja</w:t>
            </w:r>
          </w:p>
        </w:tc>
      </w:tr>
      <w:tr>
        <w:trPr>
          <w:trHeight w:val="6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sz w:val="20"/>
                <w:szCs w:val="20"/>
              </w:rPr>
            </w:pPr>
            <w:r>
              <w:rPr>
                <w:rFonts w:eastAsia="Times New Roman" w:cs="Times New Roman"/>
                <w:b/>
                <w:sz w:val="20"/>
                <w:szCs w:val="20"/>
              </w:rPr>
              <w:t>Informacje diagnostyczne na temat lokalizacji</w:t>
            </w:r>
          </w:p>
        </w:tc>
      </w:tr>
      <w:tr>
        <w:trPr>
          <w:trHeight w:val="615" w:hRule="atLeast"/>
        </w:trPr>
        <w:tc>
          <w:tcPr>
            <w:tcW w:w="9025" w:type="dxa"/>
            <w:gridSpan w:val="5"/>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jc w:val="center"/>
              <w:rPr>
                <w:rFonts w:ascii="Arial" w:hAnsi="Arial" w:eastAsia="Times New Roman" w:cs="Times New Roman"/>
                <w:sz w:val="20"/>
                <w:szCs w:val="20"/>
              </w:rPr>
            </w:pPr>
            <w:r>
              <w:rPr>
                <w:rFonts w:eastAsia="Times New Roman" w:cs="Times New Roman"/>
                <w:b/>
                <w:sz w:val="20"/>
                <w:szCs w:val="20"/>
              </w:rPr>
              <w:t xml:space="preserve">Zestawienie </w:t>
            </w:r>
            <w:r>
              <w:rPr>
                <w:rFonts w:eastAsia="Times New Roman" w:cs="Times New Roman"/>
                <w:b/>
                <w:color w:val="auto"/>
                <w:kern w:val="0"/>
                <w:sz w:val="20"/>
                <w:szCs w:val="20"/>
                <w:lang w:val="pl-PL" w:eastAsia="zh-CN" w:bidi="hi-IN"/>
              </w:rPr>
              <w:t>uwag</w:t>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 xml:space="preserve">Kategoria tematyczna </w:t>
            </w:r>
            <w:r>
              <w:rPr>
                <w:rFonts w:eastAsia="Times New Roman" w:cs="Times New Roman"/>
                <w:b/>
                <w:color w:val="auto"/>
                <w:kern w:val="0"/>
                <w:sz w:val="20"/>
                <w:szCs w:val="20"/>
                <w:lang w:val="pl-PL" w:eastAsia="zh-CN" w:bidi="hi-IN"/>
              </w:rPr>
              <w:t>uwag</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Lp.</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 xml:space="preserve">Treść </w:t>
            </w:r>
            <w:r>
              <w:rPr>
                <w:rFonts w:eastAsia="Times New Roman" w:cs="Times New Roman"/>
                <w:b/>
                <w:color w:val="auto"/>
                <w:kern w:val="0"/>
                <w:sz w:val="20"/>
                <w:szCs w:val="20"/>
                <w:lang w:val="pl-PL" w:eastAsia="zh-CN" w:bidi="hi-IN"/>
              </w:rPr>
              <w:t>uwag</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Status uwag</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b/>
                <w:b/>
                <w:sz w:val="20"/>
                <w:szCs w:val="20"/>
              </w:rPr>
            </w:pPr>
            <w:r>
              <w:rPr>
                <w:rFonts w:eastAsia="Times New Roman" w:cs="Times New Roman"/>
                <w:b/>
                <w:sz w:val="20"/>
                <w:szCs w:val="20"/>
              </w:rPr>
              <w:t>Odpowiedź na uwagi</w:t>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Tablica</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1.</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Sugestia, żeby tablica z historią dzielnicy była lekko odsunięta od krawędzi chodnika, żeby można było przejść za nią i zobaczyć drugą stronę (kontury dzielnicy).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2.</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Wskazano, że na plecach tablicy z historią dzielnicy można umieścić tablicę ogłoszeniową. Inna lokalizacja może znajdować się przy wejściu na skwer od strony ulicy Kunickiego.</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nieuwzględniona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Na terenie dzielnicy jest 9 tablic ogłoszeniowych i zaledwie jedna jest użytkowana, co oznacza, że nie ma potrzeby, by na skwerze </w:t>
            </w:r>
            <w:r>
              <w:rPr>
                <w:rFonts w:eastAsia="Times New Roman" w:cs="Times New Roman"/>
                <w:color w:val="auto"/>
                <w:kern w:val="0"/>
                <w:sz w:val="20"/>
                <w:szCs w:val="20"/>
                <w:lang w:val="pl-PL" w:eastAsia="zh-CN" w:bidi="hi-IN"/>
              </w:rPr>
              <w:t>umieszczać</w:t>
            </w:r>
            <w:r>
              <w:rPr>
                <w:rFonts w:eastAsia="Times New Roman" w:cs="Times New Roman"/>
                <w:sz w:val="20"/>
                <w:szCs w:val="20"/>
              </w:rPr>
              <w:t xml:space="preserve"> tablicę ogłoszeniową.</w:t>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3.</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Wskazano, że w dzielnicy jest 9 tablic ogłoszeniowych i zaledwie jedna jest użytkowana, co oznacza, że nie ma potrzeby, by na skwerze </w:t>
            </w:r>
            <w:r>
              <w:rPr>
                <w:rFonts w:eastAsia="Times New Roman" w:cs="Times New Roman"/>
                <w:color w:val="auto"/>
                <w:kern w:val="0"/>
                <w:sz w:val="20"/>
                <w:szCs w:val="20"/>
                <w:lang w:val="pl-PL" w:eastAsia="zh-CN" w:bidi="hi-IN"/>
              </w:rPr>
              <w:t>umieszczać</w:t>
            </w:r>
            <w:r>
              <w:rPr>
                <w:rFonts w:eastAsia="Times New Roman" w:cs="Times New Roman"/>
                <w:sz w:val="20"/>
                <w:szCs w:val="20"/>
              </w:rPr>
              <w:t xml:space="preserve"> tablicę ogłoszeniową.</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4.</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Wskazano, że należy sprawdzić, czy w zaproponowanej na projekcie lokalizacji tablica z historią dzielnicy nie będzie ograniczać widoczności kierowców.</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5.</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Wskazano, że treść tablicy dotyczącej historii dzielnicy może być taka sama jak na skwerze koło Browaru Perła.</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15"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Ławka </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6.</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Sugestia, żeby ławki były bez oparcia, oraz, żeby meble miejskie były podobne do tych, które są zastosowane w innych miejscach (skwerkach) przy ul. Kunickiego.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630"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Oświetlenie</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7.</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Sugestia, aby oświetlenie było skierowane na skwerek. Wskazanie, że rada dzielnicy wyjdzie z taką sugestią do Zarządu Dróg i Mostów</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r>
        <w:trPr>
          <w:trHeight w:val="870" w:hRule="atLeast"/>
        </w:trPr>
        <w:tc>
          <w:tcPr>
            <w:tcW w:w="1868" w:type="dxa"/>
            <w:tcBorders>
              <w:top w:val="single" w:sz="6" w:space="0" w:color="000000"/>
              <w:left w:val="single" w:sz="8"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Chodnik </w:t>
            </w:r>
          </w:p>
        </w:tc>
        <w:tc>
          <w:tcPr>
            <w:tcW w:w="627"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8.</w:t>
            </w:r>
          </w:p>
        </w:tc>
        <w:tc>
          <w:tcPr>
            <w:tcW w:w="2096" w:type="dxa"/>
            <w:tcBorders>
              <w:top w:val="single" w:sz="6" w:space="0" w:color="000000"/>
              <w:left w:val="single" w:sz="6" w:space="0" w:color="000000"/>
              <w:bottom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t xml:space="preserve">Padła sugestia, żeby pas przy ulicy Reja wysypać tłuczniem. Od razu jednak wskazano, że ze względów formalnych (brak wytyczenia chodnika i oznaczonego przejścia dla pieszych) nie jest to możliwe i może być niebezpieczne. Wskazano, że istnieje możliwość, iż w kolejnym roku chodnik zostanie zrealizowany z rezerwy rady dzielnicy. </w:t>
            </w:r>
          </w:p>
        </w:tc>
        <w:tc>
          <w:tcPr>
            <w:tcW w:w="2156" w:type="dxa"/>
            <w:tcBorders>
              <w:top w:val="single" w:sz="6" w:space="0" w:color="000000"/>
              <w:left w:val="single" w:sz="6" w:space="0" w:color="000000"/>
              <w:bottom w:val="single" w:sz="8" w:space="0" w:color="000000"/>
            </w:tcBorders>
            <w:shd w:fill="auto" w:val="clear"/>
            <w:vAlign w:val="bottom"/>
          </w:tcPr>
          <w:p>
            <w:pPr>
              <w:pStyle w:val="LOnormal"/>
              <w:widowControl w:val="false"/>
              <w:jc w:val="center"/>
              <w:rPr>
                <w:rFonts w:eastAsia="Times New Roman" w:cs="Times New Roman"/>
                <w:sz w:val="20"/>
                <w:szCs w:val="20"/>
              </w:rPr>
            </w:pPr>
            <w:r>
              <w:rPr>
                <w:rFonts w:eastAsia="Times New Roman" w:cs="Times New Roman"/>
                <w:sz w:val="20"/>
                <w:szCs w:val="20"/>
              </w:rPr>
              <w:t>uwzględniona</w:t>
            </w:r>
          </w:p>
        </w:tc>
        <w:tc>
          <w:tcPr>
            <w:tcW w:w="2278" w:type="dxa"/>
            <w:tcBorders>
              <w:top w:val="single" w:sz="6" w:space="0" w:color="000000"/>
              <w:left w:val="single" w:sz="6" w:space="0" w:color="000000"/>
              <w:bottom w:val="single" w:sz="8" w:space="0" w:color="000000"/>
              <w:right w:val="single" w:sz="8" w:space="0" w:color="000000"/>
            </w:tcBorders>
            <w:shd w:fill="auto" w:val="clear"/>
            <w:vAlign w:val="bottom"/>
          </w:tcPr>
          <w:p>
            <w:pPr>
              <w:pStyle w:val="LOnormal"/>
              <w:widowControl w:val="false"/>
              <w:rPr>
                <w:rFonts w:ascii="Arial" w:hAnsi="Arial" w:eastAsia="Times New Roman" w:cs="Times New Roman"/>
                <w:sz w:val="20"/>
                <w:szCs w:val="20"/>
              </w:rPr>
            </w:pPr>
            <w:r>
              <w:rPr>
                <w:rFonts w:eastAsia="Times New Roman" w:cs="Times New Roman"/>
                <w:sz w:val="20"/>
                <w:szCs w:val="20"/>
              </w:rPr>
            </w:r>
          </w:p>
        </w:tc>
      </w:tr>
    </w:tbl>
    <w:p>
      <w:pPr>
        <w:pStyle w:val="LOnormal"/>
        <w:spacing w:lineRule="auto" w:line="240" w:before="240" w:after="240"/>
        <w:rPr>
          <w:rFonts w:ascii="Times New Roman" w:hAnsi="Times New Roman" w:eastAsia="Times New Roman" w:cs="Times New Roman"/>
        </w:rPr>
      </w:pPr>
      <w:r>
        <w:rPr>
          <w:rFonts w:eastAsia="Times New Roman" w:cs="Times New Roman" w:ascii="Times New Roman" w:hAnsi="Times New Roman"/>
        </w:rPr>
        <w:t xml:space="preserve"> </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PL"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pl-PL" w:eastAsia="zh-CN" w:bidi="hi-IN"/>
    </w:rPr>
  </w:style>
  <w:style w:type="paragraph" w:styleId="Nagwek1">
    <w:name w:val="Heading 1"/>
    <w:basedOn w:val="LOnormal"/>
    <w:next w:val="LOnormal"/>
    <w:qFormat/>
    <w:pPr>
      <w:keepNext w:val="true"/>
      <w:keepLines/>
      <w:pageBreakBefore w:val="false"/>
      <w:spacing w:lineRule="auto" w:line="240" w:before="400" w:after="120"/>
    </w:pPr>
    <w:rPr>
      <w:sz w:val="40"/>
      <w:szCs w:val="40"/>
    </w:rPr>
  </w:style>
  <w:style w:type="paragraph" w:styleId="Nagwek2">
    <w:name w:val="Heading 2"/>
    <w:basedOn w:val="LOnormal"/>
    <w:next w:val="LOnormal"/>
    <w:qFormat/>
    <w:pPr>
      <w:keepNext w:val="true"/>
      <w:keepLines/>
      <w:pageBreakBefore w:val="false"/>
      <w:spacing w:lineRule="auto" w:line="240" w:before="360" w:after="120"/>
    </w:pPr>
    <w:rPr>
      <w:b w:val="false"/>
      <w:sz w:val="32"/>
      <w:szCs w:val="32"/>
    </w:rPr>
  </w:style>
  <w:style w:type="paragraph" w:styleId="Nagwek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Nagwek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Nagwek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Nagwek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Numeracjawierszy">
    <w:name w:val="Numeracja wierszy"/>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pl-PL" w:eastAsia="zh-CN" w:bidi="hi-IN"/>
    </w:rPr>
  </w:style>
  <w:style w:type="paragraph" w:styleId="Tytu">
    <w:name w:val="Title"/>
    <w:basedOn w:val="LOnormal"/>
    <w:next w:val="LOnormal"/>
    <w:qFormat/>
    <w:pPr>
      <w:keepNext w:val="true"/>
      <w:keepLines/>
      <w:pageBreakBefore w:val="false"/>
      <w:spacing w:lineRule="auto" w:line="240" w:before="0" w:after="60"/>
    </w:pPr>
    <w:rPr>
      <w:sz w:val="52"/>
      <w:szCs w:val="52"/>
    </w:rPr>
  </w:style>
  <w:style w:type="paragraph" w:styleId="Podtytu">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LibreOffice/7.2.2.1$Windows_X86_64 LibreOffice_project/0e408af0b27894d652a87aa5f21fe17bf058124c</Application>
  <AppVersion>15.0000</AppVersion>
  <Pages>4</Pages>
  <Words>610</Words>
  <Characters>3785</Characters>
  <CharactersWithSpaces>4325</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2022-06-30T12:12:52Z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