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6"/>
      </w:tblGrid>
      <w:tr>
        <w:trPr/>
        <w:tc>
          <w:tcPr>
            <w:tcW w:w="9866" w:type="dxa"/>
            <w:tcBorders/>
            <w:shd w:fill="auto" w:val="clear"/>
          </w:tcPr>
          <w:p>
            <w:pPr>
              <w:pStyle w:val="Normal"/>
              <w:jc w:val="left"/>
              <w:rPr>
                <w:sz w:val="20"/>
              </w:rPr>
            </w:pPr>
            <w:r>
              <w:rPr>
                <w:sz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Uchwała</w:t>
        <w:br/>
        <w:t>Rady Miasta Lublin</w:t>
      </w:r>
    </w:p>
    <w:p>
      <w:pPr>
        <w:pStyle w:val="Normal"/>
        <w:spacing w:before="280" w:after="280"/>
        <w:jc w:val="center"/>
        <w:rPr>
          <w:b/>
          <w:b/>
          <w:caps/>
        </w:rPr>
      </w:pPr>
      <w:r>
        <w:rPr/>
        <w:t>z dnia 25 października 2018 r.</w:t>
      </w:r>
    </w:p>
    <w:p>
      <w:pPr>
        <w:pStyle w:val="Normal"/>
        <w:spacing w:before="280" w:after="280"/>
        <w:jc w:val="center"/>
        <w:rPr>
          <w:b/>
          <w:b/>
          <w:caps/>
        </w:rPr>
      </w:pPr>
      <w:r>
        <w:rPr>
          <w:b/>
          <w:caps/>
        </w:rPr>
        <w:t xml:space="preserve"> </w:t>
      </w:r>
      <w:r>
        <w:rPr>
          <w:b/>
          <w:caps/>
        </w:rPr>
        <w:t>Nr ....................</w:t>
      </w:r>
    </w:p>
    <w:p>
      <w:pPr>
        <w:pStyle w:val="Normal"/>
        <w:keepNext w:val="true"/>
        <w:spacing w:before="0" w:after="480"/>
        <w:jc w:val="right"/>
        <w:rPr/>
      </w:pPr>
      <w:r>
        <w:rPr>
          <w:b/>
        </w:rPr>
        <w:t>w sprawie uchwalenia programu współpracy Gminy Lublin z organizacjami pozarządowymi oraz z podmiotami, o których mowa w art. 3 ust. 3 ustawy o działalności pożytku publicznego i o wolontariacie na rok 2019</w:t>
      </w:r>
    </w:p>
    <w:p>
      <w:pPr>
        <w:pStyle w:val="Normal"/>
        <w:keepLines/>
        <w:spacing w:before="120" w:after="120"/>
        <w:ind w:firstLine="227"/>
        <w:rPr/>
      </w:pPr>
      <w:r>
        <w:rPr/>
        <w:t>Na podstawie art. 18 ust. 2 pkt 15 ustawy z dnia 8 marca 1990 r. o samorządzie gminnym (Dz. U. z 2018 r. poz. 994, z późn. zm.), art. 12 pkt 11, w związku z art. 92 ust. 1 pkt 1 i ust. 2 ustawy z dnia 5 czerwca 1998 r. o samorządzie powiatowym (Dz. U. z 2018 r. poz. 995, z późn. zm.) oraz art. 5a ust. 1 ustawy z dnia 24 kwietnia 2003 r. o działalności pożytku publicznego i o wolontariacie (Dz. U. z 2018 r. poz. 450, z późn. zm.) - Rada Miasta Lublin uchwala, co następuje: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1. </w:t>
      </w:r>
    </w:p>
    <w:p>
      <w:pPr>
        <w:pStyle w:val="Normal"/>
        <w:keepLines/>
        <w:spacing w:before="120" w:after="120"/>
        <w:ind w:firstLine="340"/>
        <w:rPr/>
      </w:pPr>
      <w:r>
        <w:rPr/>
        <w:t>Uchwala się Program współpracy Gminy Lublin z organizacjami pozarządowymi oraz z podmiotami, o których mowa w art. 3 ust. 3 ustawy o działalności pożytku publicznego i o wolontariacie na rok 2018, w brzmieniu stanowiącym załącznik do niniejszej uchwały.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2. </w:t>
      </w:r>
    </w:p>
    <w:p>
      <w:pPr>
        <w:pStyle w:val="Normal"/>
        <w:keepLines/>
        <w:spacing w:before="120" w:after="120"/>
        <w:ind w:firstLine="340"/>
        <w:rPr/>
      </w:pPr>
      <w:r>
        <w:rPr/>
        <w:t>Wykonanie uchwały powierza się Prezydentowi Miasta Lublin.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3. </w:t>
      </w:r>
    </w:p>
    <w:p>
      <w:pPr>
        <w:pStyle w:val="Normal"/>
        <w:keepNext w:val="true"/>
        <w:keepLines/>
        <w:spacing w:before="120" w:after="120"/>
        <w:ind w:firstLine="340"/>
        <w:rPr/>
      </w:pPr>
      <w:r>
        <w:rPr/>
        <w:t>Uchwała wchodzi w życie po upływie 14 dni od dnia ogłoszenia w Dzienniku Urzędowym Województwa Lubelskiego.</w:t>
      </w:r>
    </w:p>
    <w:p>
      <w:pPr>
        <w:pStyle w:val="Normal"/>
        <w:keepNext w:val="true"/>
        <w:keepLines/>
        <w:spacing w:before="120" w:after="120"/>
        <w:ind w:firstLine="340"/>
        <w:rPr/>
      </w:pPr>
      <w:r>
        <w:rPr/>
      </w:r>
    </w:p>
    <w:p>
      <w:pPr>
        <w:pStyle w:val="Normal"/>
        <w:keepNext w:val="true"/>
        <w:rPr/>
      </w:pPr>
      <w:r>
        <w:rPr>
          <w:color w:val="000000"/>
        </w:rPr>
        <w:t> 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32"/>
        <w:gridCol w:w="4933"/>
      </w:tblGrid>
      <w:tr>
        <w:trPr/>
        <w:tc>
          <w:tcPr>
            <w:tcW w:w="4932" w:type="dxa"/>
            <w:tcBorders/>
            <w:shd w:fill="auto" w:val="clear"/>
          </w:tcPr>
          <w:p>
            <w:pPr>
              <w:pStyle w:val="Normal"/>
              <w:keepNext w:val="true"/>
              <w:keepLines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</w:r>
          </w:p>
        </w:tc>
        <w:tc>
          <w:tcPr>
            <w:tcW w:w="4933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560" w:after="560"/>
              <w:ind w:left="1134" w:right="1134" w:hanging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Miasta Lublin</w:t>
              <w:br/>
              <w:br/>
              <w:br/>
            </w:r>
            <w:r>
              <w:rPr>
                <w:b/>
              </w:rPr>
              <w:t>Piotr Kowalczyk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020" w:right="1020" w:header="0" w:top="1417" w:footer="708" w:bottom="992" w:gutter="0"/>
          <w:pgNumType w:fmt="decimal"/>
          <w:formProt w:val="false"/>
          <w:textDirection w:val="lrTb"/>
          <w:docGrid w:type="default" w:linePitch="360" w:charSpace="0"/>
        </w:sectPr>
        <w:pStyle w:val="Normal"/>
        <w:keepNext w:val="true"/>
        <w:rPr/>
      </w:pPr>
      <w:r>
        <w:rPr/>
      </w:r>
    </w:p>
    <w:p>
      <w:pPr>
        <w:pStyle w:val="Normal"/>
        <w:keepNext w:val="true"/>
        <w:spacing w:lineRule="auto" w:line="360" w:before="120" w:after="120"/>
        <w:ind w:left="5634" w:hanging="0"/>
        <w:jc w:val="left"/>
        <w:rPr/>
      </w:pPr>
      <w:r>
        <w:fldChar w:fldCharType="begin"/>
      </w:r>
      <w:r>
        <w:rPr/>
      </w:r>
      <w:r>
        <w:rPr/>
        <w:fldChar w:fldCharType="separate"/>
      </w:r>
      <w:bookmarkStart w:id="2" w:name="__Fieldmark__268_3748256577"/>
      <w:r>
        <w:rPr/>
      </w:r>
      <w:r>
        <w:rPr/>
      </w:r>
      <w:r>
        <w:rPr/>
        <w:fldChar w:fldCharType="end"/>
      </w:r>
      <w:bookmarkEnd w:id="2"/>
      <w:r>
        <w:rPr/>
        <w:t>Załącznik do Uchwały Nr ....................</w:t>
        <w:br/>
        <w:t>Rady Miasta Lublin</w:t>
        <w:br/>
        <w:t>z dnia 25 października 2018 r.</w:t>
      </w:r>
    </w:p>
    <w:p>
      <w:pPr>
        <w:pStyle w:val="Normal"/>
        <w:keepNext w:val="true"/>
        <w:spacing w:before="0" w:after="480"/>
        <w:jc w:val="right"/>
        <w:rPr/>
      </w:pPr>
      <w:r>
        <w:rPr>
          <w:b/>
        </w:rPr>
        <w:t>Program współpracy Gminy Lublin z organizacjami pozarządowymi oraz z podmiotami, o których</w:t>
        <w:br/>
        <w:t>mowa w art. 3 ust. 3 ustawy o działalności pożytku publicznego i o wolontariacie na rok 2019</w:t>
      </w:r>
    </w:p>
    <w:p>
      <w:pPr>
        <w:pStyle w:val="Normal"/>
        <w:keepNext w:val="true"/>
        <w:jc w:val="center"/>
        <w:rPr/>
      </w:pPr>
      <w:r>
        <w:rPr>
          <w:b/>
        </w:rPr>
        <w:t>Rozdział 1.</w:t>
      </w:r>
      <w:r>
        <w:rPr/>
        <w:br/>
      </w:r>
      <w:r>
        <w:rPr>
          <w:b/>
        </w:rPr>
        <w:t>Postanowienia ogólne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1. </w:t>
      </w:r>
    </w:p>
    <w:p>
      <w:pPr>
        <w:pStyle w:val="Normal"/>
        <w:keepLines/>
        <w:spacing w:before="120" w:after="120"/>
        <w:ind w:firstLine="340"/>
        <w:rPr/>
      </w:pPr>
      <w:r>
        <w:rPr/>
        <w:t>Podstawowym celem funkcjonowania Gminy Lublin jest zaspokajanie zbiorowych potrzeb jej mieszkańców. Sprawnej i efektywnej realizacji tych potrzeb dobrze służy współpraca samorządu</w:t>
        <w:br/>
        <w:t>z organizacjami wyspecjalizowanymi w działalności obejmującej swoim zakresem dziedziny stanowiące zadania publiczne. Organizacje są kompetentnym i odpowiedzialnym partnerem samorządu w realizacji jego zadań, czego wyrazem jest dotychczasowe współdziałanie i jego pozytywne wyniki. Program współpracy Gminy Lublin z organizacjami pozarządowymi oraz z podmiotami, o których mowa w art. 3 ust. 3 ustawy o działalności pożytku publicznego i o wolontariacie w latach poprzednich, odzwierciedlał obszary tej współpracy. Aktywność organizacji jest istotną cechą społeczeństwa demokratycznego, elementem ożywiającym i spajającym społeczność lokalną. Doświadczamy tego praktycznie w życiu naszej lubelskiej wspólnoty samorządowej. Uznając wysoką rangę zaangażowania obywatelskiego w rozwiązywaniu problemów i rozwoju naszego Miasta, Rada Miasta Lublin deklaruje wolę rozwijania współpracy z organizacjami pozarządowymi. Okres realizacji Programu współpracy Gminy Lublin z organizacjami pozarządowymi oraz podmiotami, o których mowa w art. 3 ust. 3 ustawy o działalności pożytku publicznego i o wolontariacie na rok 2019 trwa od 1 stycznia 2019 r. do 31 grudnia 2019 r.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2. </w:t>
      </w:r>
    </w:p>
    <w:p>
      <w:pPr>
        <w:pStyle w:val="Normal"/>
        <w:keepLines/>
        <w:spacing w:before="120" w:after="120"/>
        <w:ind w:firstLine="340"/>
        <w:rPr/>
      </w:pPr>
      <w:r>
        <w:rPr/>
        <w:t>Ilekroć w niniejszym Programie współpracy Gminy Lublin z organizacjami pozarządowymi oraz podmiotami, o których mowa w art. 3 ust. 3 ustawy o działalności pożytku publicznego i o wolontariacie na rok 2019, mówi się o:</w:t>
      </w:r>
    </w:p>
    <w:p>
      <w:pPr>
        <w:pStyle w:val="Normal"/>
        <w:spacing w:before="120" w:after="120"/>
        <w:ind w:left="340" w:hanging="227"/>
        <w:rPr/>
      </w:pPr>
      <w:r>
        <w:rPr/>
        <w:t>1) dotacji – należy przez to rozumieć dotację w rozumieniu art. 127 ust. 1 pkt 1 lit. e ustawy z dnia 27 sierpnia 2009 r. o finansach publicznych (Dz.U. z 2017 r. poz. 2077, z późn. zm.);</w:t>
      </w:r>
    </w:p>
    <w:p>
      <w:pPr>
        <w:pStyle w:val="Normal"/>
        <w:spacing w:before="120" w:after="120"/>
        <w:ind w:left="340" w:hanging="227"/>
        <w:rPr/>
      </w:pPr>
      <w:r>
        <w:rPr/>
        <w:t>2) dyrektorze – należy przez to rozumieć dyrektora komórki organizacyjnej, o której mowa w pkt. 3;</w:t>
      </w:r>
    </w:p>
    <w:p>
      <w:pPr>
        <w:pStyle w:val="Normal"/>
        <w:spacing w:before="120" w:after="120"/>
        <w:ind w:left="340" w:hanging="227"/>
        <w:rPr/>
      </w:pPr>
      <w:r>
        <w:rPr/>
        <w:t>3) komórce organizacyjnej – należy przez to rozumieć wydziały oraz inne komórki i jednostki organizacyjne Miasta, które mogą uczestniczyć w realizacji Programu;</w:t>
      </w:r>
    </w:p>
    <w:p>
      <w:pPr>
        <w:pStyle w:val="Normal"/>
        <w:spacing w:before="120" w:after="120"/>
        <w:ind w:left="340" w:hanging="227"/>
        <w:rPr/>
      </w:pPr>
      <w:r>
        <w:rPr/>
        <w:t>4) konkursie – należy przez to rozumieć otwarty konkurs ofert, o którym mowa w art. 11 ust. 2 i art. 13 ustawy;</w:t>
      </w:r>
    </w:p>
    <w:p>
      <w:pPr>
        <w:pStyle w:val="Normal"/>
        <w:spacing w:before="120" w:after="120"/>
        <w:ind w:left="340" w:hanging="227"/>
        <w:rPr/>
      </w:pPr>
      <w:r>
        <w:rPr/>
        <w:t>5) Mieście – należy przez to rozumieć Gminę Lublin;</w:t>
      </w:r>
    </w:p>
    <w:p>
      <w:pPr>
        <w:pStyle w:val="Normal"/>
        <w:spacing w:before="120" w:after="120"/>
        <w:ind w:left="340" w:hanging="227"/>
        <w:rPr/>
      </w:pPr>
      <w:r>
        <w:rPr/>
        <w:t>6) organizacji – należy przez to rozumieć organizacje pozarządowe i podmioty wymienione w art. 3 ust. 3 ustawy;</w:t>
      </w:r>
    </w:p>
    <w:p>
      <w:pPr>
        <w:pStyle w:val="Normal"/>
        <w:spacing w:before="120" w:after="120"/>
        <w:ind w:left="340" w:hanging="227"/>
        <w:rPr/>
      </w:pPr>
      <w:r>
        <w:rPr/>
        <w:t>7) Prezydencie – należy przez to rozumieć Prezydenta Miasta Lublin;</w:t>
      </w:r>
    </w:p>
    <w:p>
      <w:pPr>
        <w:pStyle w:val="Normal"/>
        <w:spacing w:before="120" w:after="120"/>
        <w:ind w:left="340" w:hanging="227"/>
        <w:rPr/>
      </w:pPr>
      <w:r>
        <w:rPr/>
        <w:t>8) Programie – należy przez to rozumieć Program współpracy Gminy Lublin z organizacjami pozarządowymi oraz z podmiotami, o których mowa w art. 3 ust. 3 ustawy o działalności pożytku publicznego i o wolontariacie na rok 2019;</w:t>
      </w:r>
    </w:p>
    <w:p>
      <w:pPr>
        <w:pStyle w:val="Normal"/>
        <w:spacing w:before="120" w:after="120"/>
        <w:ind w:left="340" w:hanging="227"/>
        <w:rPr/>
      </w:pPr>
      <w:r>
        <w:rPr/>
        <w:t>9) Radzie Pożytku – należy przez to rozumieć Radę Działalności Pożytku Publicznego Miasta Lublin;</w:t>
      </w:r>
    </w:p>
    <w:p>
      <w:pPr>
        <w:pStyle w:val="Normal"/>
        <w:spacing w:before="120" w:after="120"/>
        <w:ind w:left="340" w:hanging="227"/>
        <w:rPr/>
      </w:pPr>
      <w:r>
        <w:rPr/>
        <w:t>10) umowie – należy przez to rozumieć umowę na wykonanie zadania publicznego wraz z załącznikami;</w:t>
      </w:r>
    </w:p>
    <w:p>
      <w:pPr>
        <w:pStyle w:val="Normal"/>
        <w:spacing w:before="120" w:after="120"/>
        <w:ind w:left="340" w:hanging="227"/>
        <w:rPr/>
      </w:pPr>
      <w:r>
        <w:rPr/>
        <w:t>11) ustawie – należy przez to rozumieć ustawę z dnia 24 kwietnia 2003 r. o działalności pożytku publicznego i o wolontariacie (Dz. U. z 2018 r. poz. 450, z późn. zm.);</w:t>
      </w:r>
    </w:p>
    <w:p>
      <w:pPr>
        <w:pStyle w:val="Normal"/>
        <w:spacing w:before="120" w:after="120"/>
        <w:ind w:left="340" w:hanging="227"/>
        <w:rPr/>
      </w:pPr>
      <w:r>
        <w:rPr/>
        <w:t>12) zadaniu – należy przez to rozumieć zadanie publiczne wymienione w Programie, zlecane przez Miasto.</w:t>
      </w:r>
    </w:p>
    <w:p>
      <w:pPr>
        <w:pStyle w:val="Normal"/>
        <w:keepNext w:val="true"/>
        <w:jc w:val="center"/>
        <w:rPr/>
      </w:pPr>
      <w:r>
        <w:rPr>
          <w:b/>
        </w:rPr>
        <w:t>Rozdział 2.</w:t>
      </w:r>
      <w:r>
        <w:rPr/>
        <w:br/>
      </w:r>
      <w:r>
        <w:rPr>
          <w:b/>
        </w:rPr>
        <w:t>Cel główny i cele szczegółowe współpracy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3. </w:t>
      </w:r>
    </w:p>
    <w:p>
      <w:pPr>
        <w:pStyle w:val="Normal"/>
        <w:keepLines/>
        <w:spacing w:before="120" w:after="120"/>
        <w:ind w:firstLine="340"/>
        <w:rPr/>
      </w:pPr>
      <w:r>
        <w:rPr/>
        <w:t>1. Celem głównym Programu jest rozwijanie współpracy Miasta z organizacjami.</w:t>
      </w:r>
    </w:p>
    <w:p>
      <w:pPr>
        <w:pStyle w:val="Normal"/>
        <w:keepLines/>
        <w:spacing w:before="120" w:after="120"/>
        <w:ind w:firstLine="340"/>
        <w:rPr/>
      </w:pPr>
      <w:r>
        <w:rPr/>
        <w:t>2. Cel główny jest realizowany poprzez realizację następujących celów szczegółowych:</w:t>
      </w:r>
    </w:p>
    <w:p>
      <w:pPr>
        <w:pStyle w:val="Normal"/>
        <w:spacing w:before="120" w:after="120"/>
        <w:ind w:left="340" w:hanging="227"/>
        <w:rPr/>
      </w:pPr>
      <w:r>
        <w:rPr/>
        <w:t>1) wzrost ilości projektów partnerskich realizowanych we współpracy z Miastem;</w:t>
      </w:r>
    </w:p>
    <w:p>
      <w:pPr>
        <w:pStyle w:val="Normal"/>
        <w:spacing w:before="120" w:after="120"/>
        <w:ind w:left="340" w:hanging="227"/>
        <w:rPr/>
      </w:pPr>
      <w:r>
        <w:rPr/>
        <w:t>2) stworzenie warunków do współpracy pomiędzy komórkami organizacyjnymi, Prezydentem i organizacjami;</w:t>
      </w:r>
    </w:p>
    <w:p>
      <w:pPr>
        <w:pStyle w:val="Normal"/>
        <w:spacing w:before="120" w:after="120"/>
        <w:ind w:left="340" w:hanging="227"/>
        <w:rPr/>
      </w:pPr>
      <w:r>
        <w:rPr/>
        <w:t>3) tworzenie warunków i narzędzi do prezentacji dorobku organizacji realizujących zadania zlecane przez Miasto oraz promowania ich osiągnięć i przedsięwzięć;</w:t>
      </w:r>
    </w:p>
    <w:p>
      <w:pPr>
        <w:pStyle w:val="Normal"/>
        <w:spacing w:before="120" w:after="120"/>
        <w:ind w:left="340" w:hanging="227"/>
        <w:rPr/>
      </w:pPr>
      <w:r>
        <w:rPr/>
        <w:t>4) tworzenie warunków do prowadzenia działań na rzecz mieszkańców;</w:t>
      </w:r>
    </w:p>
    <w:p>
      <w:pPr>
        <w:pStyle w:val="Normal"/>
        <w:spacing w:before="120" w:after="120"/>
        <w:ind w:left="340" w:hanging="227"/>
        <w:rPr/>
      </w:pPr>
      <w:r>
        <w:rPr/>
        <w:t>5) wzmocnienie zaangażowania organizacji w proces tworzenia i realizacji polityk publicznych oraz podejmowania decyzji;</w:t>
      </w:r>
    </w:p>
    <w:p>
      <w:pPr>
        <w:pStyle w:val="Normal"/>
        <w:spacing w:before="120" w:after="120"/>
        <w:ind w:left="340" w:hanging="227"/>
        <w:rPr/>
      </w:pPr>
      <w:r>
        <w:rPr/>
        <w:t>6) zapewnienie równego dostępu dla mieszkańców i mieszkanek Lublina bez względu na wiek, płeć, sprawność, pochodzenie oraz inne cechy indywidualne do oferty Miasta wynikającej z realizacji zadań Miasta przez organizacje;</w:t>
      </w:r>
    </w:p>
    <w:p>
      <w:pPr>
        <w:pStyle w:val="Normal"/>
        <w:spacing w:before="120" w:after="120"/>
        <w:ind w:left="340" w:hanging="227"/>
        <w:rPr/>
      </w:pPr>
      <w:r>
        <w:rPr/>
        <w:t>7) włączenie organizacji w obchody 450-tej rocznicy podpisania Unii Lubelskiej.</w:t>
      </w:r>
    </w:p>
    <w:p>
      <w:pPr>
        <w:pStyle w:val="Normal"/>
        <w:keepNext w:val="true"/>
        <w:jc w:val="center"/>
        <w:rPr/>
      </w:pPr>
      <w:r>
        <w:rPr>
          <w:b/>
        </w:rPr>
        <w:t>Rozdział 3.</w:t>
      </w:r>
      <w:r>
        <w:rPr/>
        <w:br/>
      </w:r>
      <w:r>
        <w:rPr>
          <w:b/>
        </w:rPr>
        <w:t>Zasady współpracy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4. </w:t>
      </w:r>
    </w:p>
    <w:p>
      <w:pPr>
        <w:pStyle w:val="Normal"/>
        <w:keepLines/>
        <w:spacing w:before="120" w:after="120"/>
        <w:ind w:firstLine="340"/>
        <w:rPr/>
      </w:pPr>
      <w:r>
        <w:rPr/>
        <w:t>Współpraca Miasta z organizacjami odbywa się na zasadach pomocniczości, partnerstwa, suwerenności stron, efektywności, uczciwej konkurencji i jawności oraz ścisłego współdziałania przy realizacji zadań ustawowych.</w:t>
      </w:r>
    </w:p>
    <w:p>
      <w:pPr>
        <w:pStyle w:val="Normal"/>
        <w:keepNext w:val="true"/>
        <w:keepLines/>
        <w:jc w:val="center"/>
        <w:rPr/>
      </w:pPr>
      <w:r>
        <w:rPr>
          <w:b/>
        </w:rPr>
        <w:t>Rozdział 4.</w:t>
      </w:r>
      <w:r>
        <w:rPr/>
        <w:br/>
      </w:r>
      <w:r>
        <w:rPr>
          <w:b/>
        </w:rPr>
        <w:t>Formy współpracy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5. </w:t>
      </w:r>
    </w:p>
    <w:p>
      <w:pPr>
        <w:pStyle w:val="Normal"/>
        <w:keepLines/>
        <w:spacing w:before="120" w:after="120"/>
        <w:ind w:firstLine="340"/>
        <w:rPr/>
      </w:pPr>
      <w:r>
        <w:rPr/>
        <w:t>Współpraca Miasta z organizacjami może odbywać się w formach:</w:t>
      </w:r>
    </w:p>
    <w:p>
      <w:pPr>
        <w:pStyle w:val="Normal"/>
        <w:spacing w:before="120" w:after="120"/>
        <w:ind w:left="340" w:hanging="227"/>
        <w:rPr/>
      </w:pPr>
      <w:r>
        <w:rPr/>
        <w:t>1) zlecania organizacjom realizacji zadań publicznych na zasadach określonych w ustawie;</w:t>
      </w:r>
    </w:p>
    <w:p>
      <w:pPr>
        <w:pStyle w:val="Normal"/>
        <w:spacing w:before="120" w:after="120"/>
        <w:ind w:left="340" w:hanging="227"/>
        <w:rPr/>
      </w:pPr>
      <w:r>
        <w:rPr/>
        <w:t>2) wzajemnego informowania się o planowanych kierunkach działalności;</w:t>
      </w:r>
    </w:p>
    <w:p>
      <w:pPr>
        <w:pStyle w:val="Normal"/>
        <w:spacing w:before="120" w:after="120"/>
        <w:ind w:left="340" w:hanging="227"/>
        <w:rPr/>
      </w:pPr>
      <w:r>
        <w:rPr/>
        <w:t>3) konsultowania z organizacjami projektów aktów normatywnych w dziedzinach dotyczących działalności statutowej tych organizacji;</w:t>
      </w:r>
    </w:p>
    <w:p>
      <w:pPr>
        <w:pStyle w:val="Normal"/>
        <w:spacing w:before="120" w:after="120"/>
        <w:ind w:left="340" w:hanging="227"/>
        <w:rPr/>
      </w:pPr>
      <w:r>
        <w:rPr/>
        <w:t>4) konsultowania projektów aktów normatywnych dotyczących sfery zadań publicznych, o której mowa w art. 4 ustawy z Radą Pożytku;</w:t>
      </w:r>
    </w:p>
    <w:p>
      <w:pPr>
        <w:pStyle w:val="Normal"/>
        <w:spacing w:before="120" w:after="120"/>
        <w:ind w:left="340" w:hanging="227"/>
        <w:rPr/>
      </w:pPr>
      <w:r>
        <w:rPr/>
        <w:t>5) tworzenia wspólnych zespołów o charakterze doradczym i inicjatywnym, złożonych z przedstawicieli Prezydenta oraz organizacji;</w:t>
      </w:r>
    </w:p>
    <w:p>
      <w:pPr>
        <w:pStyle w:val="Normal"/>
        <w:spacing w:before="120" w:after="120"/>
        <w:ind w:left="340" w:hanging="227"/>
        <w:rPr/>
      </w:pPr>
      <w:r>
        <w:rPr/>
        <w:t>6) umowy o wykonanie inicjatywy lokalnej na zasadach określonych w ustawie;</w:t>
      </w:r>
    </w:p>
    <w:p>
      <w:pPr>
        <w:pStyle w:val="Normal"/>
        <w:spacing w:before="120" w:after="120"/>
        <w:ind w:left="340" w:hanging="227"/>
        <w:rPr/>
      </w:pPr>
      <w:r>
        <w:rPr/>
        <w:t>7) umów partnerstwa określonych w ustawie z dnia 6 grudnia 2006 r. o zasadach prowadzenia polityki rozwoju (Dz.U.2018.1307 j.t.);</w:t>
      </w:r>
    </w:p>
    <w:p>
      <w:pPr>
        <w:pStyle w:val="Normal"/>
        <w:spacing w:before="120" w:after="120"/>
        <w:ind w:left="340" w:hanging="227"/>
        <w:rPr/>
      </w:pPr>
      <w:r>
        <w:rPr/>
        <w:t>8) współdziałania w pozyskiwaniu środków finansowych z innych źródeł, w szczególności z funduszy Unii Europejskiej, w tym udzielania informacji w zakresie przygotowywania projektów;</w:t>
      </w:r>
    </w:p>
    <w:p>
      <w:pPr>
        <w:pStyle w:val="Normal"/>
        <w:spacing w:before="120" w:after="120"/>
        <w:ind w:left="340" w:hanging="227"/>
        <w:rPr/>
      </w:pPr>
      <w:r>
        <w:rPr/>
        <w:t>9) udziału przedstawicieli organizacji w działaniach programowych Miasta;</w:t>
      </w:r>
    </w:p>
    <w:p>
      <w:pPr>
        <w:pStyle w:val="Normal"/>
        <w:spacing w:before="120" w:after="120"/>
        <w:ind w:left="340" w:hanging="227"/>
        <w:rPr/>
      </w:pPr>
      <w:r>
        <w:rPr/>
        <w:t>10) użyczania bądź wynajmowania na preferencyjnych warunkach lokali i budynków komunalnych (w tym z pominięciem procedury przetargowej) oraz udostępniania lokali na spotkania organizacji;</w:t>
      </w:r>
    </w:p>
    <w:p>
      <w:pPr>
        <w:pStyle w:val="Normal"/>
        <w:spacing w:before="120" w:after="120"/>
        <w:ind w:left="340" w:hanging="227"/>
        <w:rPr/>
      </w:pPr>
      <w:r>
        <w:rPr/>
        <w:t>11) promowania działalności organizacji;</w:t>
      </w:r>
    </w:p>
    <w:p>
      <w:pPr>
        <w:pStyle w:val="Normal"/>
        <w:spacing w:before="120" w:after="120"/>
        <w:ind w:left="340" w:hanging="227"/>
        <w:rPr/>
      </w:pPr>
      <w:r>
        <w:rPr/>
        <w:t>12) pomocy w nawiązywaniu kontaktów międzynarodowych;</w:t>
      </w:r>
    </w:p>
    <w:p>
      <w:pPr>
        <w:pStyle w:val="Normal"/>
        <w:spacing w:before="120" w:after="120"/>
        <w:ind w:left="340" w:hanging="227"/>
        <w:rPr/>
      </w:pPr>
      <w:r>
        <w:rPr/>
        <w:t>13) udzielania rekomendacji i wystawiania listów intencyjnych;</w:t>
      </w:r>
    </w:p>
    <w:p>
      <w:pPr>
        <w:pStyle w:val="Normal"/>
        <w:spacing w:before="120" w:after="120"/>
        <w:ind w:left="340" w:hanging="227"/>
        <w:rPr/>
      </w:pPr>
      <w:r>
        <w:rPr/>
        <w:t>14) prowadzenie centrum wsparcia organizacji oraz centrów wsparcia społeczności lokalnej i obywatelskiej;</w:t>
      </w:r>
    </w:p>
    <w:p>
      <w:pPr>
        <w:pStyle w:val="Normal"/>
        <w:spacing w:before="120" w:after="120"/>
        <w:ind w:left="340" w:hanging="227"/>
        <w:rPr/>
      </w:pPr>
      <w:r>
        <w:rPr/>
        <w:t>15) organizowania szkoleń dla organizacji;</w:t>
      </w:r>
    </w:p>
    <w:p>
      <w:pPr>
        <w:pStyle w:val="Normal"/>
        <w:spacing w:before="120" w:after="120"/>
        <w:ind w:left="340" w:hanging="227"/>
        <w:rPr/>
      </w:pPr>
      <w:r>
        <w:rPr/>
        <w:t>16) udziału przedstawicieli organizacji w delegacjach Miasta Lublin.</w:t>
      </w:r>
    </w:p>
    <w:p>
      <w:pPr>
        <w:pStyle w:val="Normal"/>
        <w:keepNext w:val="true"/>
        <w:jc w:val="center"/>
        <w:rPr/>
      </w:pPr>
      <w:r>
        <w:rPr>
          <w:b/>
        </w:rPr>
        <w:t>Rozdział 5.</w:t>
      </w:r>
      <w:r>
        <w:rPr/>
        <w:br/>
      </w:r>
      <w:r>
        <w:rPr>
          <w:b/>
        </w:rPr>
        <w:t>Zakres przedmiotowy oraz priorytetowe zadania publiczne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6. </w:t>
      </w:r>
    </w:p>
    <w:p>
      <w:pPr>
        <w:pStyle w:val="Normal"/>
        <w:keepLines/>
        <w:spacing w:before="120" w:after="120"/>
        <w:ind w:firstLine="340"/>
        <w:rPr/>
      </w:pPr>
      <w:r>
        <w:rPr/>
        <w:t>W ramach Programu Miasto współpracuje z organizacjami w zakresie finansowym oraz pozafinansowym.</w:t>
      </w:r>
    </w:p>
    <w:p>
      <w:pPr>
        <w:pStyle w:val="Normal"/>
        <w:keepLines/>
        <w:spacing w:before="120" w:after="120"/>
        <w:ind w:firstLine="340"/>
        <w:rPr/>
      </w:pPr>
      <w:r>
        <w:rPr/>
        <w:t>1. Do zadań realizowanych we współpracy finansowej należą:</w:t>
      </w:r>
    </w:p>
    <w:p>
      <w:pPr>
        <w:pStyle w:val="Normal"/>
        <w:spacing w:before="120" w:after="120"/>
        <w:ind w:left="340" w:hanging="227"/>
        <w:rPr/>
      </w:pPr>
      <w:r>
        <w:rPr/>
        <w:t>1) działania na rzecz rehabilitacji społecznej i zawodowej osób niepełnosprawnych: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prowadzenie warsztatów terapii zajęciowej,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realizacja zadań z zakresu rehabilitacji społecznej i zawodowej na zlecenie Miasta Lublin przez organizacje pozarządowe ze środków Państwowego Funduszu Rehabilitacji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organizowanie sportu, kultury, turystyki i rekreacji osób niepełnosprawnych ze środków Państwowego</w:t>
      </w:r>
    </w:p>
    <w:p>
      <w:pPr>
        <w:pStyle w:val="Normal"/>
        <w:spacing w:before="120" w:after="120"/>
        <w:ind w:firstLine="227"/>
        <w:rPr/>
      </w:pPr>
      <w:r>
        <w:rPr/>
        <w:t>Funduszu Rehabilitacji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świadczenie usługi asystenta osoby niepełnosprawnej,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rehabilitacja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f) realizacja programów promujących osiągnięcia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g) prowadzenie zajęć edukacyjnych dla dzieci i młodzieży niepełnosprawnej,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h) organizacja akcji i realizacja programów upowszechniających wiedzę o przyczynach i skutkach niepełnosprawności oraz sposobach jej zapobiegania,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i) organizacja kursów i szkoleń przygotowujących do pracy z osobami niepełnosprawnymi,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j) integracja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k) prowadzenie placówek specjalistycznych dla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l) kształtowanie pozytywnych postaw wobec osób z niepełnosprawnościami u dzieci w wieku przedszkolnym i wczesnoszkolnym,</w:t>
      </w:r>
    </w:p>
    <w:p>
      <w:pPr>
        <w:pStyle w:val="Normal"/>
        <w:spacing w:before="120" w:after="120"/>
        <w:ind w:firstLine="227"/>
        <w:rPr/>
      </w:pPr>
      <w:r>
        <w:rPr/>
        <w:t>ł) rozwijanie pasji i zainteresowań osób niepełnosprawnych w różnym wieku;</w:t>
      </w:r>
    </w:p>
    <w:p>
      <w:pPr>
        <w:pStyle w:val="Normal"/>
        <w:spacing w:before="120" w:after="120"/>
        <w:ind w:left="340" w:hanging="227"/>
        <w:rPr/>
      </w:pPr>
      <w:r>
        <w:rPr/>
        <w:t>2) pomoc społeczna, wspieranie rodziny i piecza zastępcza, w tym pomoc rodzinom i osobom w trudnej sytuacji życiowej oraz wyrównywanie szans tych rodzin i osób: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w zakresie wspierania rodziny i systemu pieczy zastępczej: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prowadzenie placówek wsparcia dziennego w formie opiekuńczej, specjalistycznej lub pracy podwórkowej realizowanej przez wychowawcę,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prowadzenie placówek opiekuńczo-wychowawczych typu socjalizacyjnego, rodzinnego, interwencyjnego, specjalistyczno - terapeutycznego,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realizacja działań wspierających i edukacyjnych,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rzecznictwo praw dziecka,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w zakresie udzielania schronienia, posiłku, niezbędnego ubrania osobom tego pozbawionym: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zapewnienie miejsc noclegowych w noclegowniach, schroniskach, ogrzewalniach,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prowadzenie taniego żywienia w formie kuchni społecznych,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realizacja założeń rządowego programu powrót osób bezdomnych do społeczności,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łagodzenie skutków ubóstwa poprzez wspieranie działań w zakresie dostarczania żywności najuboższym mieszkańcom Lublina oraz dystrybucję żywności pochodzącej z rezerw UE oraz innych źródeł, w tym zbiórek na rzecz osób i rodzin pozostających w trudnej sytuacji życiowej mieszkańców Miasta Lublin,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w zakresie organizowania i świadczenia usług opiekuńczych i specjalistycznych osobom, które ze względu na wiek, chorobę, niepełnosprawność, wymagają częściowej lub całodobowej opieki i pomocy w zaspokajaniu niezbędnych potrzeb życiowych, a rodzina nie może takiej pomocy zapewnić: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świadczenie usług opiekuńczych i specjalistycznych usług opiekuńczych oraz specjalistycznych usług opiekuńczych dla osób z zaburzeniami psychicznymi na rzecz mieszkańców Miasta Lublin w miejscu ich zamieszkiwania,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prowadzenie ośrodków wsparcia, w tym: środowiskowych domów samopomocy i klubów samopomocy dla osób z zaburzeniami psychicznymi, dziennych domów pomocy, domów dla matek z małoletnimi dziećmi i kobiet w ciąży, klubów samopomocy,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prowadzenie domów pomocy społecznej,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w zakresie aktywizacji zawodowej kobiet i mężczyzn nie pracujących, będących w wieku aktywności zawodowej i długotrwale korzystających ze świadczeń,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w zakresie reintegracji zawodowej i społecznej osób zagrożonych wykluczeniem społecznym w ramach centrum integracji społecznej i Klubu Integracji Społecznej,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f) w zakresie prowadzenia programów specjalistycznego wsparcia w środowisku dla osób w sytuacji kryzysowej, w tym z problemem przemocy w rodzinie, uzależnienia, po przeżyciach traumatycznych</w:t>
        <w:br/>
        <w:t>i innych,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g) w zakresie integracji i wspierania cudzoziemców, którzy otrzymali status uchodźcy lub ochronę uzupełniającą, przebywających na terytorium Miasta,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h) w zakresie realizacji inicjatyw z obszaru ekonomii społecznej,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i) w zakresie dostępu osób ubogich i migrantów do poradnictwa obywatelskiego i prawnego,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j) w zakresie udzielania wsparcia ofiarom przemocy i osobom zagrożonym przemocą:</w:t>
      </w:r>
    </w:p>
    <w:p>
      <w:pPr>
        <w:pStyle w:val="Normal"/>
        <w:keepLines/>
        <w:spacing w:before="120" w:after="120"/>
        <w:ind w:left="794" w:hanging="113"/>
        <w:rPr/>
      </w:pPr>
      <w:r>
        <w:rPr/>
        <w:t>- prowadzenie placówek wspierania ofiar przemocy w rodzinie;</w:t>
      </w:r>
    </w:p>
    <w:p>
      <w:pPr>
        <w:pStyle w:val="Normal"/>
        <w:spacing w:before="120" w:after="120"/>
        <w:ind w:left="340" w:hanging="227"/>
        <w:rPr/>
      </w:pPr>
      <w:r>
        <w:rPr/>
        <w:t>3) kultura i sztuka: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Miasto Kultury - realizacja przedsięwzięć o zasięgu miejskim, regionalnym, ogólnopolskim</w:t>
        <w:br/>
        <w:t>i międzynarodowym w zakresie tworzenia i upowszechniania kultury w celu podniesienia jakości życia mieszkańców Lublina,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Dzielnice Kultury - realizacja przedsięwzięć o zasięgu lokalnym w zakresie tworzenia</w:t>
        <w:br/>
        <w:t>i upowszechniania kultury w celu zwiększenia potencjału kulturalnego lubelskich dzielnic oraz włączenia społeczności lokalnych w proces rozwoju miasta poprzez kulturę,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tworzenie kolekcji sztuki współczesnej,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Unia Lubelska kultura, pamięć, dialog – realizacja przedsięwzięć z zakresu kultury i edukacji kulturalnej włączających mieszkańców Miasta w obchody 450-tej rocznicy podpisania Unii Lubelskiej,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kultura dla wszystkich – realizacja działań zwiększających dostępność mieszkańców Miasta do kultury;</w:t>
      </w:r>
    </w:p>
    <w:p>
      <w:pPr>
        <w:pStyle w:val="Normal"/>
        <w:spacing w:before="120" w:after="120"/>
        <w:ind w:left="340" w:hanging="227"/>
        <w:rPr/>
      </w:pPr>
      <w:r>
        <w:rPr/>
        <w:t>4) ekologia, dziedzictwo przyrodnicze i ochrona zwierząt: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realizacja programów zwiększających świadomość ekologiczną mieszkańców Miasta w sprawach dotyczących ochrony powietrza oraz gospodarki odpadami komunalnymi, w zakresie selektywnej zbiórki odpadów komunalnych,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organizacja działań promujących gospodarkę obiegu zamkniętego,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realizacja programów zwiększających świadomość ekologiczną mieszkańców Miasta w sprawach dotyczących właściwego postępowania z dzikimi zwierzętami na terenie Miasta Lublin,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ochrona i zwiększenie zasobów przyrodniczych Miasta Lublin;</w:t>
      </w:r>
    </w:p>
    <w:p>
      <w:pPr>
        <w:pStyle w:val="Normal"/>
        <w:spacing w:before="120" w:after="120"/>
        <w:ind w:left="340" w:hanging="227"/>
        <w:rPr/>
      </w:pPr>
      <w:r>
        <w:rPr/>
        <w:t>5) turystyka, krajoznawstwo, wypoczynek dzieci i młodzieży: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realizacja zadań w zakresie rozwoju turystyki i krajoznawstwa,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organizacja wypoczynku dzieci i młodzieży;</w:t>
      </w:r>
    </w:p>
    <w:p>
      <w:pPr>
        <w:pStyle w:val="Normal"/>
        <w:spacing w:before="120" w:after="120"/>
        <w:ind w:left="340" w:hanging="227"/>
        <w:rPr/>
      </w:pPr>
      <w:r>
        <w:rPr/>
        <w:t>6) sport: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realizacja programów szkolenia sportowego w różnych kategoriach wiekowych,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organizacja zawodów sportowych,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organizacja systemu współzawodnictwa sportowego szkół i uczelni,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Aktywny Lublin - realizacja programów promujących aktywność fizyczną mieszkańców Miasta</w:t>
        <w:br/>
        <w:t>w ramach różnych grup społecznych, w szczególności wśród uczniów, studentów, seniorów, osób niepełnosprawnych;</w:t>
      </w:r>
    </w:p>
    <w:p>
      <w:pPr>
        <w:pStyle w:val="Normal"/>
        <w:spacing w:before="120" w:after="120"/>
        <w:ind w:left="340" w:hanging="227"/>
        <w:rPr/>
      </w:pPr>
      <w:r>
        <w:rPr/>
        <w:t>7) upowszechnianie i ochrona wolności i praw człowieka oraz swobód obywatelskich, a także działania wspomagające rozwój demokracji: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promowanie partycypacyjnego modelu zarządzania Miastem,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podejmowanie działań promujących dialog międzykulturowy,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podejmowanie działań edukacyjnych zmierzających do zwiększenia świadomości prawnej społeczeństwa na podstawie ustawy z dnia 5 sierpnia 2015 r. o nieodpłatnej pomocy prawnej oraz edukacji prawnej (Dz. U. z 2017 r., poz. 2030 z późn. zm.),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budowanie sieci miejsc aktywności lokalnej uzupełniających ofertę miejskich instytucji kultury oraz pomocy społecznej;</w:t>
      </w:r>
    </w:p>
    <w:p>
      <w:pPr>
        <w:pStyle w:val="Normal"/>
        <w:spacing w:before="120" w:after="120"/>
        <w:ind w:left="340" w:hanging="227"/>
        <w:rPr/>
      </w:pPr>
      <w:r>
        <w:rPr/>
        <w:t>8) działalność na rzecz równych praw kobiet i mężczyzn;</w:t>
      </w:r>
    </w:p>
    <w:p>
      <w:pPr>
        <w:pStyle w:val="Normal"/>
        <w:spacing w:before="120" w:after="120"/>
        <w:ind w:left="340" w:hanging="227"/>
        <w:rPr/>
      </w:pPr>
      <w:r>
        <w:rPr/>
        <w:t>9) udzielanie nieodpłatnego poradnictwa prawnego na podstawie ustawy z dnia 5 sierpnia 2015 r. o nieodpłatnej pomocy prawnej oraz edukacji  prawnej (Dz. U. z 2017 r., poz. 2030 z późn. zm.);</w:t>
      </w:r>
    </w:p>
    <w:p>
      <w:pPr>
        <w:pStyle w:val="Normal"/>
        <w:spacing w:before="120" w:after="120"/>
        <w:ind w:left="340" w:hanging="227"/>
        <w:rPr/>
      </w:pPr>
      <w:r>
        <w:rPr/>
        <w:t>10) działalność wspomagająca rozwój gospodarczy, w tym rozwój przedsiębiorczości: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wspieranie programów edukacyjnych, szkoleniowych w zakresie propagowania idei przedsiębiorczości, w szczególności wśród uczniów i studentów,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kształtowania postaw przedsiębiorczych,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działań wspomagających rozwój gospodarczy miasta,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nawiązywania efektywnej współpracy pomiędzy przedsiębiorcami a środowiskiem akademickim,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integracji lubelskiego środowiska przedsiębiorców w celu wypracowania skutecznych instrumentów wsparcia lokalnego rynku pracy zwiększających zatrudnienie, w szczególności w tzw. branżach priorytetowych,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f) tworzenia ekosystemu przedsiębiorczości w Lublinie, opartego na lokalnych przedsiębiorstwach i kreatywnej przedsiębiorczości;</w:t>
      </w:r>
    </w:p>
    <w:p>
      <w:pPr>
        <w:pStyle w:val="Normal"/>
        <w:spacing w:before="120" w:after="120"/>
        <w:ind w:left="340" w:hanging="227"/>
        <w:rPr/>
      </w:pPr>
      <w:r>
        <w:rPr/>
        <w:t>11) działalność wspomagająca rozwój wspólnot i społeczności lokalnych oraz działalność na rzecz organizacji, w zakresie określonym w Programie: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prowadzenie portalu dla lubelskich organizacji,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prowadzenie centrum wsparcia organizacji oraz centrów wsparcia społeczności lokalnej i aktywności obywatelskiej,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realizacja miejskiej polityki rowerowej i pieszej,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podniesienie świadomego zaangażowania mieszkańców i mieszkanek Lublina w procesy partycypacyjne w Mieście Lublin;</w:t>
      </w:r>
    </w:p>
    <w:p>
      <w:pPr>
        <w:pStyle w:val="Normal"/>
        <w:spacing w:before="120" w:after="120"/>
        <w:ind w:left="340" w:hanging="227"/>
        <w:rPr/>
      </w:pPr>
      <w:r>
        <w:rPr/>
        <w:t>12) realizacja programów służących aktywizacji i integracji osób w podeszłym wieku;</w:t>
      </w:r>
    </w:p>
    <w:p>
      <w:pPr>
        <w:pStyle w:val="Normal"/>
        <w:spacing w:before="120" w:after="120"/>
        <w:ind w:left="340" w:hanging="227"/>
        <w:rPr/>
      </w:pPr>
      <w:r>
        <w:rPr/>
        <w:t>13) działalność na rzecz integracji i reintegracji zawodowej i społecznej osób zagrożonych wykluczeniem społecznym:</w:t>
      </w:r>
    </w:p>
    <w:p>
      <w:pPr>
        <w:pStyle w:val="Normal"/>
        <w:keepLines/>
        <w:spacing w:before="120" w:after="120"/>
        <w:ind w:left="567" w:hanging="113"/>
        <w:rPr/>
      </w:pPr>
      <w:r>
        <w:rPr/>
        <w:t>- dofinansowanie działalności centrum integracji społecznej;</w:t>
      </w:r>
    </w:p>
    <w:p>
      <w:pPr>
        <w:pStyle w:val="Normal"/>
        <w:spacing w:before="120" w:after="120"/>
        <w:ind w:left="340" w:hanging="227"/>
        <w:rPr/>
      </w:pPr>
      <w:r>
        <w:rPr/>
        <w:t>14) przeciwdziałanie uzależnieniom i patologiom społecznym:</w:t>
      </w:r>
    </w:p>
    <w:p>
      <w:pPr>
        <w:pStyle w:val="Normal"/>
        <w:keepLines/>
        <w:spacing w:before="120" w:after="120"/>
        <w:ind w:left="567" w:hanging="113"/>
        <w:rPr/>
      </w:pPr>
      <w:r>
        <w:rPr/>
        <w:t>- prowadzenie świetlicy socjoterapeutycznej świadczącej pomoc dzieciom z rodzin z problemem alkoholowym.</w:t>
      </w:r>
    </w:p>
    <w:p>
      <w:pPr>
        <w:pStyle w:val="Normal"/>
        <w:keepLines/>
        <w:spacing w:before="120" w:after="120"/>
        <w:ind w:firstLine="340"/>
        <w:rPr/>
      </w:pPr>
      <w:r>
        <w:rPr/>
        <w:t>2. Do zadań realizowanych we współpracy pozafinansowej należą:</w:t>
      </w:r>
    </w:p>
    <w:p>
      <w:pPr>
        <w:pStyle w:val="Normal"/>
        <w:spacing w:before="120" w:after="120"/>
        <w:ind w:left="340" w:hanging="227"/>
        <w:rPr/>
      </w:pPr>
      <w:r>
        <w:rPr/>
        <w:t>1) działania na rzecz rehabilitacji społecznej i zawodowej osób niepełnosprawnych: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świadczenie poradnictwa dla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wzmacnianie przepływu informacji w środowisku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konsultowanie oraz wymiana opinii na temat priorytetowych zadań na rzecz osób niepełnosprawnych,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współpraca przy organizowaniu cyklicznych spotkań, konferencji, warsztatów w celu najbardziej optymalnego wykorzystania zasobów rzeczowych i kadrowych zarówno Miasta Lublin, jak i organizacji pozarządowych;</w:t>
      </w:r>
    </w:p>
    <w:p>
      <w:pPr>
        <w:pStyle w:val="Normal"/>
        <w:spacing w:before="120" w:after="120"/>
        <w:ind w:left="340" w:hanging="227"/>
        <w:rPr/>
      </w:pPr>
      <w:r>
        <w:rPr/>
        <w:t>2) turystyka, krajoznawstwo, wypoczynek dzieci i młodzieży oraz sport: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udostępnianie lokali na spotkania organizacji, w tym w ramach centrum wspierania dla organizacji sportowych,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umożliwienie realizacji zadań publicznych w szkolnych obiektach sportowych w ramach programu „Sportowa Szkoła” oraz w innych obiektach sportowych w ramach jednostek zakupionych przez Gminę;</w:t>
      </w:r>
    </w:p>
    <w:p>
      <w:pPr>
        <w:pStyle w:val="Normal"/>
        <w:spacing w:before="120" w:after="120"/>
        <w:ind w:left="340" w:hanging="227"/>
        <w:rPr/>
      </w:pPr>
      <w:r>
        <w:rPr/>
        <w:t>3) upowszechnianie i ochrona wolności i praw człowieka oraz swobód obywatelskich, a także działania wspomagające rozwój demokracji: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promowanie partycypacyjnego modelu zarządzania Miastem,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podejmowanie działań promujących dialog międzykulturowy,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podejmowanie działań promujących rozwój mediów obywatelskich;</w:t>
      </w:r>
    </w:p>
    <w:p>
      <w:pPr>
        <w:pStyle w:val="Normal"/>
        <w:spacing w:before="120" w:after="120"/>
        <w:ind w:left="340" w:hanging="227"/>
        <w:rPr/>
      </w:pPr>
      <w:r>
        <w:rPr/>
        <w:t>4) działalność wspomagająca rozwój wspólnot i społeczności lokalnych oraz działalność na rzecz organizacji: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wspieranie techniczne organizacji,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wspieranie szkoleniowe organizacji,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promocja i organizacja wolontariatu;</w:t>
      </w:r>
    </w:p>
    <w:p>
      <w:pPr>
        <w:pStyle w:val="Normal"/>
        <w:spacing w:before="120" w:after="120"/>
        <w:ind w:left="340" w:hanging="227"/>
        <w:rPr/>
      </w:pPr>
      <w:r>
        <w:rPr/>
        <w:t>5) działalność na rzecz równych praw kobiet i mężczyzn;</w:t>
      </w:r>
    </w:p>
    <w:p>
      <w:pPr>
        <w:pStyle w:val="Normal"/>
        <w:spacing w:before="120" w:after="120"/>
        <w:ind w:left="340" w:hanging="227"/>
        <w:rPr/>
      </w:pPr>
      <w:r>
        <w:rPr/>
        <w:t>6) realizacja programów służących aktywizacji i integracji osób w podeszłym wieku;</w:t>
      </w:r>
    </w:p>
    <w:p>
      <w:pPr>
        <w:pStyle w:val="Normal"/>
        <w:spacing w:before="120" w:after="120"/>
        <w:ind w:left="340" w:hanging="227"/>
        <w:rPr/>
      </w:pPr>
      <w:r>
        <w:rPr/>
        <w:t>7) kultura i sztuka: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realizacja przedsięwzięć o zasięgu miejskim, regionalnym, ogólnopolskim i międzynarodowym w zakresie tworzenia i upowszechniania kultury w celu podniesienia jakości życia mieszkańców Lublina,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realizacja przedsięwzięć o zasięgu lokalnym w zakresie tworzenia i upowszechniania kultury w celu zwiększenia potencjału kulturalnego lubelskich dzielnic oraz włączenia społeczności lokalnych w proces rozwoju miasta poprzez kulturę;</w:t>
      </w:r>
    </w:p>
    <w:p>
      <w:pPr>
        <w:pStyle w:val="Normal"/>
        <w:spacing w:before="120" w:after="120"/>
        <w:ind w:left="340" w:hanging="227"/>
        <w:rPr/>
      </w:pPr>
      <w:r>
        <w:rPr/>
        <w:t>8) promocja i ochrona zdrowia: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współpraca z organizacjami pozarządowymi w zakresie organizowania spotkań edukacyjno-informacyjnych o tematyce prozdrowotnej;</w:t>
      </w:r>
    </w:p>
    <w:p>
      <w:pPr>
        <w:pStyle w:val="Normal"/>
        <w:spacing w:before="120" w:after="120"/>
        <w:ind w:left="340" w:hanging="227"/>
        <w:rPr/>
      </w:pPr>
      <w:r>
        <w:rPr/>
        <w:t>9) porządek i bezpieczeństwo publiczne oraz ratownictwo i ochrona ludności: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wspomaganie działań na rzecz zapewnienia bezpieczeństwa na akwenie Zalewu Zemborzyckiego,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wspomaganie działań na rzecz zapewnienia bezpieczeństwa przeciwpożarowego. Wspieranie działań</w:t>
        <w:br/>
        <w:t>z zakresu ochrony przeciwpożarowej odbywa się na podstawie przepisów ustawy z dnia 24 sierpnia 1991 r. o ochronie przeciwpożarowej (Dz.U. z 2018 r. poz. 620 z późn. zm.),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organizowanie szkoleń, kursów i akcji upowszechniających wiedzę z zakresu porządku</w:t>
        <w:br/>
        <w:t>i bezpieczeństwa publicznego oraz ratownictwa i ochrony ludności;</w:t>
      </w:r>
    </w:p>
    <w:p>
      <w:pPr>
        <w:pStyle w:val="Normal"/>
        <w:spacing w:before="120" w:after="120"/>
        <w:ind w:left="340" w:hanging="227"/>
        <w:rPr/>
      </w:pPr>
      <w:r>
        <w:rPr/>
        <w:t>10) nauka, edukacja, oświata i wychowanie: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wspomaganie rozwoju i uzdolnień dzieci i młodzieży, twórczego myślenia i rozbudzania zainteresowań naukowych,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edukacja mająca na celu poprawę bezpieczeństwa mieszkańców Miasta,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kształtowanie postaw prospołecznych, obywatelskich i patriotycznych,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promowanie wykorzystania nowoczesnych technologii informatycznych (e-learning) w podnoszeniu kwalifikacji,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prowadzenia zajęć edukacyjnych dla osób starszych,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f) wspomaganie rozwoju działań skierowanych do młodzieży w ramach edukacji pozaformalnej,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g) tworzenie i wspomaganie rozwoju miejskiej polityki młodzieżowej,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h) wspomaganie rozwoju regionalnej polityki młodzieżowej oraz dialogu usystematyzowanego;</w:t>
      </w:r>
    </w:p>
    <w:p>
      <w:pPr>
        <w:pStyle w:val="Normal"/>
        <w:spacing w:before="120" w:after="120"/>
        <w:ind w:left="340" w:hanging="227"/>
        <w:rPr/>
      </w:pPr>
      <w:r>
        <w:rPr/>
        <w:t>11) podtrzymywanie tradycji narodowej, pielęgnowanie polskości oraz rozwój świadomości narodowej, obywatelskiej i kulturowej: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edukacja patriotyczna i obywatelska,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organizowanie dla dzieci i młodzieży wycieczek, imprez plenerowych, konkursów i wystaw,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organizowanie wydarzeń i obchodów upamiętniających fakty i osoby związane z historią Lublina, Ziemi Lubelskiej, Polski, Europy i świata;</w:t>
      </w:r>
    </w:p>
    <w:p>
      <w:pPr>
        <w:pStyle w:val="Normal"/>
        <w:spacing w:before="120" w:after="120"/>
        <w:ind w:left="340" w:hanging="227"/>
        <w:rPr/>
      </w:pPr>
      <w:r>
        <w:rPr/>
        <w:t>12) działania na rzecz integracji europejskiej oraz rozwijania kontaktów i współpracy między społeczeństwami: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a) organizacja współpracy międzynarodowej z udziałem szkół i placówek Miasta oraz Młodzieżowej Rady Miasta Lublin,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b) wymiany dzieci i młodzieży, w szczególności w zakresie edukacji, kultury i turystyki,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c) organizowanie wspólnych działań, imprez i zawodów sportowych,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d) wzmacnianie działań partnerskich między różnymi sektorami w procesach integracji europejskiej,</w:t>
      </w:r>
    </w:p>
    <w:p>
      <w:pPr>
        <w:pStyle w:val="Normal"/>
        <w:keepLines/>
        <w:spacing w:before="120" w:after="120"/>
        <w:ind w:left="567" w:hanging="227"/>
        <w:rPr/>
      </w:pPr>
      <w:r>
        <w:rPr/>
        <w:t>e) wzmacnianie współpracy organizacji działających na terenie Miasta z instytucjami i organizacjami miast partnerskich;</w:t>
      </w:r>
    </w:p>
    <w:p>
      <w:pPr>
        <w:pStyle w:val="Normal"/>
        <w:spacing w:before="120" w:after="120"/>
        <w:ind w:left="340" w:hanging="227"/>
        <w:rPr/>
      </w:pPr>
      <w:r>
        <w:rPr/>
        <w:t>13) realizacja programów wspierających usamodzielnienie bezdomnych oraz działań na rzecz reintegracji społecznej i zawodowej tej grupy społecznej.</w:t>
      </w:r>
    </w:p>
    <w:p>
      <w:pPr>
        <w:pStyle w:val="Normal"/>
        <w:keepNext w:val="true"/>
        <w:jc w:val="center"/>
        <w:rPr/>
      </w:pPr>
      <w:r>
        <w:rPr>
          <w:b/>
        </w:rPr>
        <w:t>Rozdział 6.</w:t>
      </w:r>
      <w:r>
        <w:rPr/>
        <w:br/>
      </w:r>
      <w:r>
        <w:rPr>
          <w:b/>
        </w:rPr>
        <w:t>Sposób realizacji Programu oraz tryb powoływania i zasady działania komisji konkursowych do</w:t>
      </w:r>
    </w:p>
    <w:p>
      <w:pPr>
        <w:pStyle w:val="Normal"/>
        <w:spacing w:before="120" w:after="120"/>
        <w:jc w:val="center"/>
        <w:rPr>
          <w:b/>
          <w:b/>
          <w:color w:val="000000"/>
          <w:u w:val="none" w:color="000000"/>
        </w:rPr>
      </w:pPr>
      <w:r>
        <w:rPr>
          <w:b/>
        </w:rPr>
        <w:t>opiniowania ofert w otwartych konkursach ofert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7.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Zlecanie realizacji zadań organizacjom może mieć formy: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powierzenia wykonywania zadań publicznych, wraz z udzieleniem dotacji na finansowanie ich realizacji;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wspierania realizacji zadań publicznych, wraz z udzieleniem dotacji na dofinansowanie ich realizacji.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Procedurę postępowania w sprawie zlecania realizacji zadań publicznych z pominięciem otwartego konkursu ofert określa stosowne zarządzenie Prezydenta.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Miasto, na podstawie możliwości wynikających z sytuacji finansowej budżetu, może udzielać pożyczek, gwarancji, poręczeń organizacjom, na realizację zadań w sferze pożytku publicznego, na zasadach określonych w odrębnych przepisach.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W uzasadnionych przypadkach możliwe jest ogłoszenie konkursu na zadania, o których mowa w § 6, których realizacja wymaga kontynuacji w terminie przekraczającym rok budżetowy. Wydatkowanie na te zadania określonych kwot w poszczególnych latach budżetowych wymaga ujęcia wydatków w Wieloletniej Prognozie Finansowej.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Prezydent może ogłosić otwarty konkursu ofert na wsparcie zadań publicznych skierowanych do mieszkańców Lublina oraz organizacji działających na terenie Miasta, realizowanych w ramach programów finansowanych ze środków pochodzących spoza budżetu Miasta.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8.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Celem oceny ofert konkursowych Prezydent powołuje komisje konkursowe zgodnie z procedurą określoną w art. 15 ust. od 2a do 2f ustawy.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W skład komisji konkursowych wchodzi nie mniej niż 3 osoby, w tym co najmniej połowę składu powołuje się spośród pracowników komórek organizacyjnych.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W pracach komisji konkursowych biorą udział osoby wskazane przez organizacje pozarządowe lub podmioty wymienione w art. 3 ust. 3 ustawy, które są wyłaniane w następującym trybie: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Prezydent, w terminie do 7 dni roboczych od wejścia w życie programu publikuje informację</w:t>
        <w:br/>
        <w:t>o naborze kandydatów na członków komisji konkursowych. Do informacji dołącza się formularz zgłoszenia kandydata;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Prezydent, uwzględniając rodzaj zadań w ramach ogłaszanego konkursu, powołuje do komisji konkursowej przedstawicieli organizacji, przy uwzględnieniu następujących zasad: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przedstawicieli organizacji do udziału w pracach komisji konkursowej może rekomendować Prezydentowi dyrektor komórki organizacyjnej odpowiedzialnej za realizację konkursu,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do składu komisji konkursowej nie mogą być powoływani reprezentanci organizacji, które składają oferty realizacji zadania publicznego w danym postępowaniu konkursowym;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3) </w:t>
      </w:r>
      <w:r>
        <w:rPr>
          <w:color w:val="000000"/>
          <w:u w:val="none" w:color="000000"/>
        </w:rPr>
        <w:t>w uzasadnionych przypadkach Prezydent może przeprowadzić nabór uzupełniający.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Pracami komisji konkursowej kieruje przewodniczący, a w przypadku nieobecności przewodniczącego osoba przez niego wskazana.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Komisje konkursowe podejmują decyzje większością głosów. W przypadku równej liczby głosów decyduje głos przewodniczącego komisji konkursowej.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6. </w:t>
      </w:r>
      <w:r>
        <w:rPr>
          <w:color w:val="000000"/>
          <w:u w:val="none" w:color="000000"/>
        </w:rPr>
        <w:t>Komisje konkursowe mogą prowadzić postępowanie konkursowe przy obecności przynajmniej połowy jej członków.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Członkowie komisji konkursowej informowani są o posiedzeniu komisji konkursowej</w:t>
        <w:br/>
        <w:t>z wyprzedzeniem co najmniej trzech dni roboczych.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9.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Postępowanie konkursowe składa się z dwóch etapów i odbywa się z wykorzystaniem kart oceny określonych w stosownym zarządzeniu Prezydenta.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W pierwszym etapie członkowie komisji konkursowych dokonują oceny formalnej ofert.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Komisja może wezwać organizację do uzupełnienia braków lub błędów formalnych w ofercie lub/i w załącznikach do oferty.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Wykaz wszystkich ofert, które wpłynęły w odpowiedzi na ogłoszenie o konkursie wraz z informacją o wynikach oceny formalnej podlega zamieszczeniu na elektronicznej tablicy ogłoszeń Urzędu Miasta Lublin, Biuletynie Informacji Publicznej Miasta Lublin oraz na stronach internetowych Miasta Lublin w terminie ustalonym w ogłoszeniu o konkursie.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Warunkiem rozpatrzenia oferty konkursowej pod względem merytorycznym jest spełnienie wymogów formalnych.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6. </w:t>
      </w:r>
      <w:r>
        <w:rPr>
          <w:color w:val="000000"/>
          <w:u w:val="none" w:color="000000"/>
        </w:rPr>
        <w:t>Oferty skierowane do oceny merytorycznej są udostępniane członkom komisji konkursowych przed etapem oceny merytorycznej, w terminie umożliwiającym rzetelne zapoznanie się z nimi.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7. </w:t>
      </w:r>
      <w:r>
        <w:rPr>
          <w:color w:val="000000"/>
          <w:u w:val="none" w:color="000000"/>
        </w:rPr>
        <w:t>Komisja konkursowa dokonuje oceny merytorycznej ofert, biorąc pod uwagę kryteria wymienione w art. 15 ust. 1 ustawy.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8. </w:t>
      </w:r>
      <w:r>
        <w:rPr>
          <w:color w:val="000000"/>
          <w:u w:val="none" w:color="000000"/>
        </w:rPr>
        <w:t>Ocena merytoryczna oferty dokonywana jest w skali od 0 do 100 punktów.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9. </w:t>
      </w:r>
      <w:r>
        <w:rPr>
          <w:color w:val="000000"/>
          <w:u w:val="none" w:color="000000"/>
        </w:rPr>
        <w:t>Komisja konkursowa może wezwać do złożenia wyjaśnień w sprawie oferty osoby wyznaczone w ofercie do składania wyjaśnień.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10. </w:t>
      </w:r>
      <w:r>
        <w:rPr>
          <w:color w:val="000000"/>
          <w:u w:val="none" w:color="000000"/>
        </w:rPr>
        <w:t>Ostateczna ocena merytoryczna oferty jest średnią arytmetyczną ocen poszczególnych członków komisji konkursowej.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11. </w:t>
      </w:r>
      <w:r>
        <w:rPr>
          <w:color w:val="000000"/>
          <w:u w:val="none" w:color="000000"/>
        </w:rPr>
        <w:t>Komisja konkursowa rekomenduje do dofinansowania oferty, które uzyskały największą ilość punktów. Rekomendacja zawiera propozycję kwoty przyznanego dofinansowania.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12. </w:t>
      </w:r>
      <w:r>
        <w:rPr>
          <w:color w:val="000000"/>
          <w:u w:val="none" w:color="000000"/>
        </w:rPr>
        <w:t>Oferty, które otrzymały w wyniku ostatecznej oceny merytorycznej mniej niż 65 punktów nie mogą uzyskać rekomendacji do dofinansowania.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13. </w:t>
      </w:r>
      <w:r>
        <w:rPr>
          <w:color w:val="000000"/>
          <w:u w:val="none" w:color="000000"/>
        </w:rPr>
        <w:t>Komisje konkursowe rozpatrują oferty w ciągu 30 dni, licząc od terminu na ich złożenie określonego w ogłoszeniu o konkursie.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14. </w:t>
      </w:r>
      <w:r>
        <w:rPr>
          <w:color w:val="000000"/>
          <w:u w:val="none" w:color="000000"/>
        </w:rPr>
        <w:t>Z przeprowadzonego postępowania konkursowego sporządzany jest protokół, podpisywany przez członków komisji konkursowej.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15. </w:t>
      </w:r>
      <w:r>
        <w:rPr>
          <w:color w:val="000000"/>
          <w:u w:val="none" w:color="000000"/>
        </w:rPr>
        <w:t>Protokół, o którym mowa w ust. 14, przewodniczący komisji konkursowej przekazuje Prezydentowi lub jego zastępcy, działającemu na podstawie upoważnienia Prezydenta, celem dokonania ostatecznego wyboru ofert.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16. </w:t>
      </w:r>
      <w:r>
        <w:rPr>
          <w:color w:val="000000"/>
          <w:u w:val="none" w:color="000000"/>
        </w:rPr>
        <w:t>Prezydent lub jego zastępca, działający na podstawie upoważnienia Prezydenta, podejmuje rozstrzygnięcie dotyczące ostatecznego wyboru ofert w terminie 7 dni od przekazania protokołu, o którym mowa w ust. 14.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17. </w:t>
      </w:r>
      <w:r>
        <w:rPr>
          <w:color w:val="000000"/>
          <w:u w:val="none" w:color="000000"/>
        </w:rPr>
        <w:t>Na rozstrzygnięcie, o którym mowa w ust. 16, odwołanie nie przysługuje.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18. </w:t>
      </w:r>
      <w:r>
        <w:rPr>
          <w:color w:val="000000"/>
          <w:u w:val="none" w:color="000000"/>
        </w:rPr>
        <w:t>Wyniki konkursu, niezwłocznie po wyborze ofert, ogłaszane są w sposób określony w art. 13 ust. 3 ustawy.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19. </w:t>
      </w:r>
      <w:r>
        <w:rPr>
          <w:color w:val="000000"/>
          <w:u w:val="none" w:color="000000"/>
        </w:rPr>
        <w:t>Ogłoszenie o wynikach konkursu zawiera w szczególności: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nazwę oferenta;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nazwę zadania publicznego;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3) </w:t>
      </w:r>
      <w:r>
        <w:rPr>
          <w:color w:val="000000"/>
          <w:u w:val="none" w:color="000000"/>
        </w:rPr>
        <w:t>wysokość przyznanych środków publicznych.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20. </w:t>
      </w:r>
      <w:r>
        <w:rPr>
          <w:color w:val="000000"/>
          <w:u w:val="none" w:color="000000"/>
        </w:rPr>
        <w:t>Umowa zawierana jest bez zbędnej zwłoki.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10.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color w:val="000000"/>
          <w:u w:val="none" w:color="000000"/>
        </w:rPr>
        <w:t>Kontrola i ocena realizacji zleconych zadań odbywa się na podstawie procedury wykonywania kontroli określonej w zarządzeniu Prezydenta.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11.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W ramach realizacji Programu przewidziany jest udział przedstawicieli organizacji w obradach ciał doradczych Prezydenta Miasta Lublin.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Minimum pięć zainteresowanych organizacji oraz Miasto mogą tworzyć Komisje Dialogu Obywatelskiego, działające przy właściwych komórkach organizacyjnych, względem wskazanych zakresów zadań ze sfery zadań publicznych, o których mowa w art. 4, należących do zadań własnych Miasta.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Celem działalności Komisji Dialogu Obywatelskiego może być w szczególności: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diagnozowanie problemów i potrzeb społecznych;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tworzenie i konsultowanie programów o charakterze strategicznym;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3) </w:t>
      </w:r>
      <w:r>
        <w:rPr>
          <w:color w:val="000000"/>
          <w:u w:val="none" w:color="000000"/>
        </w:rPr>
        <w:t>wzajemne informowanie się o planowanych kierunkach działalności.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Regulamin funkcjonowania Komisji Dialogu Obywatelskiego oraz szczegółowy sposób ich powoływania, określa Prezydent w drodze zarządzenia.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12.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Organizacje mogą mieć dostęp do oficjalnej witryny internetowej Miasta w zakresie informowania o swojej działalności po uzgodnieniu z właściwą jednostką organizacyjną.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Po wcześniejszym uzgodnieniu z rzecznikiem prasowym Prezydenta przedstawiciele organizacji mogą brać udział w konferencjach prasowych Urzędu Miasta Lublin w zakresie informowania o swojej działalności.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Prezydent może objąć honorowym patronatem działania organizacji.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Prezydent może przyznawać organizacjom nagrody i wyróżnienia za wybitne osiągnięcia w działalności i zasługi dla Miasta.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Organizacje realizujące zadania zawarte w Programie mogą nieodpłatnie otrzymać materiały informacyjno – edukacyjne i promocyjne Miasta.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13.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color w:val="000000"/>
          <w:u w:val="none" w:color="000000"/>
        </w:rPr>
        <w:t>W zakresie nawiązywania kontaktów z podmiotami o podobnym profilu działania w miastach partnerskich Lublina, organizacje mogą uzyskać pomoc od Biura Partycypacji Społecznej oraz innych komórek organizacyjnych.</w:t>
      </w:r>
    </w:p>
    <w:p>
      <w:pPr>
        <w:pStyle w:val="Normal"/>
        <w:keepNext w:val="true"/>
        <w:keepLines/>
        <w:jc w:val="center"/>
        <w:rPr>
          <w:color w:val="000000"/>
          <w:u w:val="none" w:color="000000"/>
        </w:rPr>
      </w:pPr>
      <w:r>
        <w:rPr>
          <w:b/>
        </w:rPr>
        <w:t>Rozdział 7.</w:t>
      </w:r>
      <w:r>
        <w:rPr>
          <w:color w:val="000000"/>
          <w:u w:val="none" w:color="000000"/>
        </w:rPr>
        <w:br/>
      </w:r>
      <w:r>
        <w:rPr>
          <w:b/>
          <w:color w:val="000000"/>
          <w:u w:val="none" w:color="000000"/>
        </w:rPr>
        <w:t>Wysokość środków planowanych na realizację oraz sposób oceny realizacji Programu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14.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color w:val="000000"/>
          <w:u w:val="none" w:color="000000"/>
        </w:rPr>
        <w:t>Na realizację Programu planuje się przeznaczyć środki finansowe w wysokości do 40 000 000 zł.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15.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W sprawozdaniu z realizacji Programu będą uwzględnione poniżej wymienione wskaźniki: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liczba organizacji realizujących zadania publiczne w oparciu o dotacje;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liczba organizacji, które ubiegały się o dotacje uwzględniając podział na komórki organizacyjne, które prowadziły poszczególne konkursy;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3) </w:t>
      </w:r>
      <w:r>
        <w:rPr>
          <w:color w:val="000000"/>
          <w:u w:val="none" w:color="000000"/>
        </w:rPr>
        <w:t>liczba ofert złożonych w poszczególnych konkursach, rozpatrzonych pozytywnie i negatywnie, spływających na poszczególne konkursy;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4) </w:t>
      </w:r>
      <w:r>
        <w:rPr>
          <w:color w:val="000000"/>
          <w:u w:val="none" w:color="000000"/>
        </w:rPr>
        <w:t>liczba organizacji realizujących po raz pierwszy zadania publiczne w oparciu o dotacje wraz z wysokością przyznanych dotacji;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5) </w:t>
      </w:r>
      <w:r>
        <w:rPr>
          <w:color w:val="000000"/>
          <w:u w:val="none" w:color="000000"/>
        </w:rPr>
        <w:t>liczba organizacji, które łącznie otrzymały dotacje w kwotach określonych w niżej wymienionych przedziałach: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a) </w:t>
      </w:r>
      <w:r>
        <w:rPr>
          <w:color w:val="000000"/>
          <w:u w:val="none" w:color="000000"/>
        </w:rPr>
        <w:t>do 5 000 zł,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b) </w:t>
      </w:r>
      <w:r>
        <w:rPr>
          <w:color w:val="000000"/>
          <w:u w:val="none" w:color="000000"/>
        </w:rPr>
        <w:t>powyżej 5 000 zł do 10 000 zł,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c) </w:t>
      </w:r>
      <w:r>
        <w:rPr>
          <w:color w:val="000000"/>
          <w:u w:val="none" w:color="000000"/>
        </w:rPr>
        <w:t>powyżej 10 000 zł do 20 000 zł,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d) </w:t>
      </w:r>
      <w:r>
        <w:rPr>
          <w:color w:val="000000"/>
          <w:u w:val="none" w:color="000000"/>
        </w:rPr>
        <w:t>powyżej 20 000 zł do 50 000 zł,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e) </w:t>
      </w:r>
      <w:r>
        <w:rPr>
          <w:color w:val="000000"/>
          <w:u w:val="none" w:color="000000"/>
        </w:rPr>
        <w:t>powyżej 50 000 zł do 100 000 zł,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f) </w:t>
      </w:r>
      <w:r>
        <w:rPr>
          <w:color w:val="000000"/>
          <w:u w:val="none" w:color="000000"/>
        </w:rPr>
        <w:t>powyżej 100 000 zł do 200 000 zł,</w:t>
      </w:r>
    </w:p>
    <w:p>
      <w:pPr>
        <w:pStyle w:val="Normal"/>
        <w:keepLines/>
        <w:spacing w:before="120" w:after="120"/>
        <w:ind w:left="567" w:hanging="227"/>
        <w:rPr>
          <w:color w:val="000000"/>
          <w:u w:val="none" w:color="000000"/>
        </w:rPr>
      </w:pPr>
      <w:r>
        <w:rPr/>
        <w:t>g) </w:t>
      </w:r>
      <w:r>
        <w:rPr>
          <w:color w:val="000000"/>
          <w:u w:val="none" w:color="000000"/>
        </w:rPr>
        <w:t>powyżej 200 000 zł;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6) </w:t>
      </w:r>
      <w:r>
        <w:rPr>
          <w:color w:val="000000"/>
          <w:u w:val="none" w:color="000000"/>
        </w:rPr>
        <w:t>wysokość środków finansowych zaangażowanych przez organizacje w realizację zadań publicznych;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7) </w:t>
      </w:r>
      <w:r>
        <w:rPr>
          <w:color w:val="000000"/>
          <w:u w:val="none" w:color="000000"/>
        </w:rPr>
        <w:t>liczba organizacji, które z własnej inicjatywy złożyły oferty na realizację zadań publicznych w ramach procedury określonej w art. 12 ustawy;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8) </w:t>
      </w:r>
      <w:r>
        <w:rPr>
          <w:color w:val="000000"/>
          <w:u w:val="none" w:color="000000"/>
        </w:rPr>
        <w:t>liczba ofert złożonych w ramach procedury określonej w art. 12 ustawy;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9) </w:t>
      </w:r>
      <w:r>
        <w:rPr>
          <w:color w:val="000000"/>
          <w:u w:val="none" w:color="000000"/>
        </w:rPr>
        <w:t>liczba ofert i organizacji, które uzyskały dofinansowanie w ramach procedury określonej w art. 12 ustawy;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10) </w:t>
      </w:r>
      <w:r>
        <w:rPr>
          <w:color w:val="000000"/>
          <w:u w:val="none" w:color="000000"/>
        </w:rPr>
        <w:t>liczba organizacji, które złożyły oferty w ramach procedury określonej w art. 19a ustawy;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11) </w:t>
      </w:r>
      <w:r>
        <w:rPr>
          <w:color w:val="000000"/>
          <w:u w:val="none" w:color="000000"/>
        </w:rPr>
        <w:t>liczba ofert złożonych w ramach procedury określonej w art. 19a ustawy;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12) </w:t>
      </w:r>
      <w:r>
        <w:rPr>
          <w:color w:val="000000"/>
          <w:u w:val="none" w:color="000000"/>
        </w:rPr>
        <w:t>liczba ofert i organizacji, które uzyskały dofinansowanie w ramach procedury określonej w art. 19a ustawy;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13) </w:t>
      </w:r>
      <w:r>
        <w:rPr>
          <w:color w:val="000000"/>
          <w:u w:val="none" w:color="000000"/>
        </w:rPr>
        <w:t>liczba podpisanych umów w trybie konkursowym na realizację zadań przez organizacje pozarządowe (dotyczy także umów wieloletnich);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14) </w:t>
      </w:r>
      <w:r>
        <w:rPr>
          <w:color w:val="000000"/>
          <w:u w:val="none" w:color="000000"/>
        </w:rPr>
        <w:t>liczba podpisanych umów w trybie pozakonkursowym na realizację zadań przez organizacje pozarządowe;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15) </w:t>
      </w:r>
      <w:r>
        <w:rPr>
          <w:color w:val="000000"/>
          <w:u w:val="none" w:color="000000"/>
        </w:rPr>
        <w:t>liczba umów wieloletnich zawartych w 2018 roku;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16) </w:t>
      </w:r>
      <w:r>
        <w:rPr>
          <w:color w:val="000000"/>
          <w:u w:val="none" w:color="000000"/>
        </w:rPr>
        <w:t>wysokość środków finansowych przekazanych poszczególnym organizacjom;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17) </w:t>
      </w:r>
      <w:r>
        <w:rPr>
          <w:color w:val="000000"/>
          <w:u w:val="none" w:color="000000"/>
        </w:rPr>
        <w:t>wykaz lokali udostępnionych organizacjom przez Miasto;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18) </w:t>
      </w:r>
      <w:r>
        <w:rPr>
          <w:color w:val="000000"/>
          <w:u w:val="none" w:color="000000"/>
        </w:rPr>
        <w:t>liczba formalnie zawartych przez Miasto i jego komórki organizacyjne umów partnerskich z organizacjami;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19) </w:t>
      </w:r>
      <w:r>
        <w:rPr>
          <w:color w:val="000000"/>
          <w:u w:val="none" w:color="000000"/>
        </w:rPr>
        <w:t>lista kanałów informacyjnych udostępnionych organizacjom pozarządowym;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20) </w:t>
      </w:r>
      <w:r>
        <w:rPr>
          <w:color w:val="000000"/>
          <w:u w:val="none" w:color="000000"/>
        </w:rPr>
        <w:t>liczba spotkań, konsultacji, szkoleń z udziałem przedstawicieli i przedstawicielek organizacji pozarządowych;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21) </w:t>
      </w:r>
      <w:r>
        <w:rPr>
          <w:color w:val="000000"/>
          <w:u w:val="none" w:color="000000"/>
        </w:rPr>
        <w:t>lista Komisji Dialogu Obywatelskiego, w pracach których uczestniczą przedstawiciele</w:t>
        <w:br/>
        <w:t>i przedstawicielki organizacji pozarządowych, informacja o ich aktualnym składzie oraz tematyce</w:t>
        <w:br/>
        <w:t>i liczbie odbytych posiedzeń;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22) </w:t>
      </w:r>
      <w:r>
        <w:rPr>
          <w:color w:val="000000"/>
          <w:u w:val="none" w:color="000000"/>
        </w:rPr>
        <w:t>liczba ofert organizacji dotyczących obchodów Unii Lubelskiej;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23) </w:t>
      </w:r>
      <w:r>
        <w:rPr>
          <w:color w:val="000000"/>
          <w:u w:val="none" w:color="000000"/>
        </w:rPr>
        <w:t>liczba organizacji zaangażowanych w obchody Unii Lubelskiej;</w:t>
      </w:r>
    </w:p>
    <w:p>
      <w:pPr>
        <w:pStyle w:val="Normal"/>
        <w:spacing w:before="120" w:after="120"/>
        <w:ind w:left="340" w:hanging="227"/>
        <w:rPr>
          <w:color w:val="000000"/>
          <w:u w:val="none" w:color="000000"/>
        </w:rPr>
      </w:pPr>
      <w:r>
        <w:rPr/>
        <w:t>24) </w:t>
      </w:r>
      <w:r>
        <w:rPr>
          <w:color w:val="000000"/>
          <w:u w:val="none" w:color="000000"/>
        </w:rPr>
        <w:t>liczba ogłoszonych konkursów ofert.</w:t>
      </w:r>
    </w:p>
    <w:p>
      <w:pPr>
        <w:pStyle w:val="Normal"/>
        <w:keepNext w:val="true"/>
        <w:jc w:val="center"/>
        <w:rPr>
          <w:color w:val="000000"/>
          <w:u w:val="none" w:color="000000"/>
        </w:rPr>
      </w:pPr>
      <w:r>
        <w:rPr>
          <w:b/>
        </w:rPr>
        <w:t>Rozdział 8.</w:t>
      </w:r>
      <w:r>
        <w:rPr>
          <w:color w:val="000000"/>
          <w:u w:val="none" w:color="000000"/>
        </w:rPr>
        <w:br/>
      </w:r>
      <w:r>
        <w:rPr>
          <w:b/>
          <w:color w:val="000000"/>
          <w:u w:val="none" w:color="000000"/>
        </w:rPr>
        <w:t>Postanowienia końcowe</w:t>
      </w:r>
    </w:p>
    <w:p>
      <w:pPr>
        <w:pStyle w:val="Normal"/>
        <w:keepNext w:val="true"/>
        <w:spacing w:before="280" w:after="0"/>
        <w:jc w:val="center"/>
        <w:rPr/>
      </w:pPr>
      <w:r>
        <w:rPr>
          <w:b/>
        </w:rPr>
        <w:t>§ 16. 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1. </w:t>
      </w:r>
      <w:r>
        <w:rPr>
          <w:color w:val="000000"/>
          <w:u w:val="none" w:color="000000"/>
        </w:rPr>
        <w:t>Projekt Programu powstał w oparciu o Program współpracy na 2018 rok z uwzględnieniem zmian wynikających z konsultacji prowadzonych z organizacjami i Radą Pożytku.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2. </w:t>
      </w:r>
      <w:r>
        <w:rPr>
          <w:color w:val="000000"/>
          <w:u w:val="none" w:color="000000"/>
        </w:rPr>
        <w:t>Za jego przygotowanie odpowiedzialne było Biuro Partycypacji Społecznej, działając we współpracy z komórkami organizacyjnymi.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3. </w:t>
      </w:r>
      <w:r>
        <w:rPr>
          <w:color w:val="000000"/>
          <w:u w:val="none" w:color="000000"/>
        </w:rPr>
        <w:t>Projekt Programu poddany został otwartym konsultacjom w sposób określony w uchwale Rady Miasta Lublin nr 1074/XLIII/2010 z dnia 24 czerwca 2010 r. w sprawie szczegółowego sposobu konsultowania z Radą Działalności Pożytku Publicznego Miasta Lublin lub organizacjami pozarządowymi i podmiotami wymienionymi w art. 3 ust. 3 ustawy projektów aktów prawa miejscowego w dziedzinach dotyczących działalności statutowej tych organizacji.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4. </w:t>
      </w:r>
      <w:r>
        <w:rPr>
          <w:color w:val="000000"/>
          <w:u w:val="none" w:color="000000"/>
        </w:rPr>
        <w:t>Konsultacje projektu Programu odbyły się od 8 sierpnia 2018 r. do 19 września 2018 r. Konsultacje miały formę pisemnego wyrażania opinii oraz bezpośredniego zgłaszania uwag podczas otwartych spotkań.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/>
        <w:t>5. </w:t>
      </w:r>
      <w:r>
        <w:rPr>
          <w:color w:val="000000"/>
          <w:u w:val="none" w:color="000000"/>
        </w:rPr>
        <w:t>Projekt Programu został skonsultowany z Radą Pożytku w dniu 2 października 2018 r., która pozytywnie zaopiniowała dokument.</w:t>
      </w:r>
    </w:p>
    <w:p>
      <w:pPr>
        <w:pStyle w:val="Normal"/>
        <w:keepLines/>
        <w:spacing w:before="120" w:after="120"/>
        <w:ind w:firstLine="340"/>
        <w:rPr/>
      </w:pPr>
      <w:r>
        <w:rPr/>
        <w:t>6. </w:t>
      </w:r>
      <w:r>
        <w:rPr>
          <w:color w:val="000000"/>
          <w:u w:val="none" w:color="000000"/>
        </w:rPr>
        <w:t>Sprawozdanie z przeprowadzonych konsultacji, o których mowa w ust. 3, zamieszczone zostało na stronie internetowej Urzędu.</w:t>
      </w:r>
    </w:p>
    <w:sectPr>
      <w:footerReference w:type="default" r:id="rId3"/>
      <w:type w:val="nextPage"/>
      <w:pgSz w:w="11906" w:h="16838"/>
      <w:pgMar w:left="1020" w:right="1020" w:header="0" w:top="1417" w:footer="708" w:bottom="99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adea">
    <w:altName w:val="Cambria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0"/>
      </w:tblBorders>
      <w:tblCellMar>
        <w:top w:w="10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rPr>
              <w:rFonts w:ascii="Caladea" w:hAnsi="Caladea" w:eastAsia="Caladea" w:cs="Caladea"/>
              <w:sz w:val="18"/>
            </w:rPr>
          </w:pPr>
          <w:r>
            <w:rPr>
              <w:rFonts w:eastAsia="Caladea" w:cs="Caladea" w:ascii="Caladea" w:hAnsi="Caladea"/>
              <w:sz w:val="18"/>
            </w:rPr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rPr>
              <w:rFonts w:ascii="Caladea" w:hAnsi="Caladea" w:eastAsia="Caladea" w:cs="Caladea"/>
              <w:sz w:val="18"/>
            </w:rPr>
          </w:pPr>
          <w:r>
            <w:rPr>
              <w:rFonts w:eastAsia="Caladea" w:cs="Caladea" w:ascii="Caladea" w:hAnsi="Caladea"/>
              <w:sz w:val="18"/>
            </w:rPr>
          </w:r>
        </w:p>
      </w:tc>
    </w:tr>
  </w:tbl>
  <w:p>
    <w:pPr>
      <w:pStyle w:val="Normal"/>
      <w:rPr>
        <w:rFonts w:ascii="Caladea" w:hAnsi="Caladea" w:eastAsia="Caladea" w:cs="Caladea"/>
        <w:sz w:val="18"/>
      </w:rPr>
    </w:pPr>
    <w:r>
      <w:rPr>
        <w:rFonts w:eastAsia="Caladea" w:cs="Caladea" w:ascii="Caladea" w:hAnsi="Caladea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Borders>
        <w:top w:val="single" w:sz="2" w:space="0" w:color="000000"/>
      </w:tblBorders>
      <w:tblCellMar>
        <w:top w:w="10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6576"/>
      <w:gridCol w:w="3289"/>
    </w:tblGrid>
    <w:tr>
      <w:trPr/>
      <w:tc>
        <w:tcPr>
          <w:tcW w:w="6576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rPr>
              <w:rFonts w:ascii="Caladea" w:hAnsi="Caladea" w:eastAsia="Caladea" w:cs="Caladea"/>
              <w:sz w:val="18"/>
            </w:rPr>
          </w:pPr>
          <w:r>
            <w:rPr>
              <w:rFonts w:eastAsia="Caladea" w:cs="Caladea" w:ascii="Caladea" w:hAnsi="Caladea"/>
              <w:sz w:val="18"/>
            </w:rPr>
          </w:r>
        </w:p>
      </w:tc>
      <w:tc>
        <w:tcPr>
          <w:tcW w:w="3289" w:type="dxa"/>
          <w:tcBorders>
            <w:top w:val="single" w:sz="2" w:space="0" w:color="000000"/>
          </w:tcBorders>
          <w:shd w:fill="auto" w:val="clear"/>
        </w:tcPr>
        <w:p>
          <w:pPr>
            <w:pStyle w:val="Normal"/>
            <w:rPr>
              <w:rFonts w:ascii="Caladea" w:hAnsi="Caladea" w:eastAsia="Caladea" w:cs="Caladea"/>
              <w:sz w:val="18"/>
            </w:rPr>
          </w:pPr>
          <w:r>
            <w:rPr>
              <w:rFonts w:eastAsia="Caladea" w:cs="Caladea" w:ascii="Caladea" w:hAnsi="Caladea"/>
              <w:sz w:val="18"/>
            </w:rPr>
          </w:r>
        </w:p>
      </w:tc>
    </w:tr>
  </w:tbl>
  <w:p>
    <w:pPr>
      <w:pStyle w:val="Normal"/>
      <w:rPr>
        <w:rFonts w:ascii="Caladea" w:hAnsi="Caladea" w:eastAsia="Caladea" w:cs="Caladea"/>
        <w:sz w:val="18"/>
      </w:rPr>
    </w:pPr>
    <w:r>
      <w:rPr>
        <w:rFonts w:eastAsia="Caladea" w:cs="Caladea" w:ascii="Caladea" w:hAnsi="Caladea"/>
        <w:sz w:val="18"/>
      </w:rPr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16</Pages>
  <Words>4339</Words>
  <Characters>28807</Characters>
  <CharactersWithSpaces>32877</CharactersWithSpaces>
  <Paragraphs>307</Paragraphs>
  <Company>Rada Miasta Lublin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2019-08-21T09:56:00Z</dcterms:created>
  <dc:creator>pchoros</dc:creator>
  <dc:description/>
  <dc:language>pl-PL</dc:language>
  <cp:lastModifiedBy>Piotr Choroś</cp:lastModifiedBy>
  <dcterms:modified xsi:type="dcterms:W3CDTF">2019-08-21T09:56:00Z</dcterms:modified>
  <cp:revision>2</cp:revision>
  <dc:subject>w sprawie uchwalenia programu współpracy Gminy Lublin z^organizacjami pozarządowymi oraz z^podmiotami, o^których mowa w^art.^3^ust.^3^ustawy o^działalności pożytku publicznego i^o wolontariacie na rok 2019</dc:subject>
  <dc:title>Uchwała z dnia 25 października 2018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Rada Miasta Lublin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