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BF" w:rsidRPr="00C63635" w:rsidRDefault="001A6F9D" w:rsidP="00C636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C63635">
        <w:rPr>
          <w:rFonts w:ascii="Arial" w:hAnsi="Arial" w:cs="Arial"/>
          <w:b/>
          <w:color w:val="000000"/>
        </w:rPr>
        <w:t xml:space="preserve">Uzasadnienie </w:t>
      </w:r>
      <w:r w:rsidR="00C63635" w:rsidRPr="00C63635">
        <w:rPr>
          <w:rFonts w:ascii="Arial" w:hAnsi="Arial" w:cs="Arial"/>
          <w:b/>
          <w:color w:val="000000"/>
        </w:rPr>
        <w:t xml:space="preserve">zawierające uwarunkowania, </w:t>
      </w:r>
      <w:r w:rsidR="00C63635">
        <w:rPr>
          <w:rFonts w:ascii="Arial" w:hAnsi="Arial" w:cs="Arial"/>
          <w:b/>
          <w:color w:val="000000"/>
        </w:rPr>
        <w:br/>
      </w:r>
      <w:r w:rsidR="00C63635" w:rsidRPr="00C63635">
        <w:rPr>
          <w:rFonts w:ascii="Arial" w:hAnsi="Arial" w:cs="Arial"/>
          <w:b/>
          <w:color w:val="000000"/>
        </w:rPr>
        <w:t>o których mowa w art. 49 ustawy</w:t>
      </w:r>
      <w:r w:rsidR="00C63635">
        <w:rPr>
          <w:rFonts w:ascii="Arial" w:hAnsi="Arial" w:cs="Arial"/>
          <w:b/>
          <w:color w:val="000000"/>
        </w:rPr>
        <w:t xml:space="preserve"> </w:t>
      </w:r>
      <w:r w:rsidR="00C63635" w:rsidRPr="00C63635">
        <w:rPr>
          <w:rFonts w:ascii="Arial" w:hAnsi="Arial" w:cs="Arial"/>
          <w:b/>
          <w:color w:val="000000"/>
        </w:rPr>
        <w:t>z dnia 3 października 2008 r. o udostępnianiu informacji o środowisku i jego ochronie, udziale społeczeństwa w ochronie środowiska oraz o ocenach oddziaływania na środowisko.</w:t>
      </w:r>
    </w:p>
    <w:p w:rsidR="00C63635" w:rsidRPr="00C63635" w:rsidRDefault="00C63635" w:rsidP="00EA4F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F6272" w:rsidRPr="00C63635" w:rsidRDefault="009F6272" w:rsidP="00995B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 xml:space="preserve">1. Charakter działań przewidzianych w dokumentach, o których mowa w art. 46 i 47, </w:t>
      </w:r>
      <w:r w:rsidR="00C63635">
        <w:rPr>
          <w:rFonts w:ascii="Arial" w:hAnsi="Arial" w:cs="Arial"/>
          <w:color w:val="000000"/>
        </w:rPr>
        <w:br/>
      </w:r>
      <w:r w:rsidRPr="00C63635">
        <w:rPr>
          <w:rFonts w:ascii="Arial" w:hAnsi="Arial" w:cs="Arial"/>
          <w:color w:val="000000"/>
        </w:rPr>
        <w:t>w szczególności:</w:t>
      </w:r>
    </w:p>
    <w:p w:rsidR="009F6272" w:rsidRPr="00C63635" w:rsidRDefault="009F6272" w:rsidP="00995B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a) stopień, w jakim dokument ustala ramy dla późniejszej realizacji przedsięwzięć,</w:t>
      </w:r>
      <w:r w:rsidR="00C63635">
        <w:rPr>
          <w:rFonts w:ascii="Arial" w:hAnsi="Arial" w:cs="Arial"/>
          <w:color w:val="000000"/>
        </w:rPr>
        <w:br/>
      </w:r>
      <w:r w:rsidRPr="00C63635">
        <w:rPr>
          <w:rFonts w:ascii="Arial" w:hAnsi="Arial" w:cs="Arial"/>
          <w:color w:val="000000"/>
        </w:rPr>
        <w:t xml:space="preserve">w odniesieniu do usytuowania, rodzaju i skali tych przedsięwzięć 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i/>
          <w:iCs/>
          <w:color w:val="000000"/>
        </w:rPr>
        <w:t xml:space="preserve">Plan gospodarki niskoemisyjnej dla miasta Lublin </w:t>
      </w:r>
      <w:r w:rsidRPr="00C63635">
        <w:rPr>
          <w:rFonts w:ascii="Arial" w:hAnsi="Arial" w:cs="Arial"/>
          <w:color w:val="000000"/>
        </w:rPr>
        <w:t xml:space="preserve">jest dokumentem strategicznym, wpisującym się w założenia polityki energetyczno-klimatycznej UE. W dokumencie zostały zaplanowane działania i środki prowadzące do podniesienia efektywności energetycznej, zwiększenia ilości energii produkowanej w odnawialnych źródłach oraz redukcji emisji gazów cieplarnianych. Działania zawarte w </w:t>
      </w:r>
      <w:r w:rsidRPr="00C63635">
        <w:rPr>
          <w:rFonts w:ascii="Arial" w:hAnsi="Arial" w:cs="Arial"/>
          <w:i/>
          <w:iCs/>
          <w:color w:val="000000"/>
        </w:rPr>
        <w:t xml:space="preserve">II Aktualizacji PGN </w:t>
      </w:r>
      <w:r w:rsidRPr="00C63635">
        <w:rPr>
          <w:rFonts w:ascii="Arial" w:hAnsi="Arial" w:cs="Arial"/>
          <w:color w:val="000000"/>
        </w:rPr>
        <w:t>mają taki sam charakter jak działania określone</w:t>
      </w:r>
      <w:r w:rsidR="00995BF2">
        <w:rPr>
          <w:rFonts w:ascii="Arial" w:hAnsi="Arial" w:cs="Arial"/>
          <w:color w:val="000000"/>
        </w:rPr>
        <w:br/>
      </w:r>
      <w:r w:rsidRPr="00C63635">
        <w:rPr>
          <w:rFonts w:ascii="Arial" w:hAnsi="Arial" w:cs="Arial"/>
          <w:color w:val="000000"/>
        </w:rPr>
        <w:t>w dokumentach strategicznych na poziomie Unii Europejskiej, na szczeblu krajowym, wojewódzkim i lokalnym.</w:t>
      </w:r>
    </w:p>
    <w:p w:rsidR="009F6272" w:rsidRPr="00C63635" w:rsidRDefault="009F6272" w:rsidP="00995B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Działania dotychczas nie zapisane w PGN, a zgłoszone przez Lubelski Park Naukowo-Technologiczny S.A. i Eko-Home Sp. z o.o. z siedzibą w Warszawie Oddział Lublin – wymiana oświetlenia zewnętrznego i wewnętrznego na energooszczędne LED, zakup samochodów elektrycznych i budowa instalacji fotowoltaicznej - zawierają się w katalogu działań zgłoszonych przez innych interesariuszy. Działania o takim charakterze zapisane były w PGN, dla którego została sporządzona prognoza oddziaływania na środowisko i przeprowadzona procedura strategicznej oceny oddziaływania na środowisko.</w:t>
      </w:r>
    </w:p>
    <w:p w:rsidR="009F6272" w:rsidRPr="00C63635" w:rsidRDefault="009F6272" w:rsidP="00995B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b) powiązania z działaniami przewidzianymi w innych dokumentach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Działania zaplanowane do realizacji są zgodne z lokalnymi dokumentami strategicznym</w:t>
      </w:r>
      <w:r w:rsidR="00995BF2">
        <w:rPr>
          <w:rFonts w:ascii="Arial" w:hAnsi="Arial" w:cs="Arial"/>
          <w:color w:val="000000"/>
        </w:rPr>
        <w:br/>
      </w:r>
      <w:r w:rsidRPr="00C63635">
        <w:rPr>
          <w:rFonts w:ascii="Arial" w:hAnsi="Arial" w:cs="Arial"/>
          <w:color w:val="000000"/>
        </w:rPr>
        <w:t>i planistycznymi miasta Lublin takimi jak: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• Program ochrony powietrza dla strefy – aglomeracja lubelska ze względu na przekroczenie poziomu dopuszczalnego pyłu zawieszonego PM10 z uwzględnieniem pyłu PM2,5 - uchwała nr XXXV/483/2017 Sejmiku Województwa Lubelskiego z dnia 20 listopada 2017 r.,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 xml:space="preserve">• Program ochrony powietrza dla strefy aglomeracja lubelska ze względu na przekroczenia poziomu docelowego </w:t>
      </w:r>
      <w:proofErr w:type="spellStart"/>
      <w:r w:rsidRPr="00C63635">
        <w:rPr>
          <w:rFonts w:ascii="Arial" w:hAnsi="Arial" w:cs="Arial"/>
          <w:color w:val="000000"/>
        </w:rPr>
        <w:t>benzo</w:t>
      </w:r>
      <w:proofErr w:type="spellEnd"/>
      <w:r w:rsidRPr="00C63635">
        <w:rPr>
          <w:rFonts w:ascii="Arial" w:hAnsi="Arial" w:cs="Arial"/>
          <w:color w:val="000000"/>
        </w:rPr>
        <w:t>(a)</w:t>
      </w:r>
      <w:proofErr w:type="spellStart"/>
      <w:r w:rsidRPr="00C63635">
        <w:rPr>
          <w:rFonts w:ascii="Arial" w:hAnsi="Arial" w:cs="Arial"/>
          <w:color w:val="000000"/>
        </w:rPr>
        <w:t>pirenu</w:t>
      </w:r>
      <w:proofErr w:type="spellEnd"/>
      <w:r w:rsidRPr="00C63635">
        <w:rPr>
          <w:rFonts w:ascii="Arial" w:hAnsi="Arial" w:cs="Arial"/>
          <w:color w:val="000000"/>
        </w:rPr>
        <w:t xml:space="preserve"> - uchwała Nr XXII/316/2016 Sejmiku Województwa Lubelskiego z dnia 14 października 2016 r.,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• Plan Adaptacji do zmian klimatu Miasta Lublin do roku 2030 - uchwała nr 322/IX/2019 Rady Miasta Lublin z dnia 5 września 2019 r.,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• Założenia do planu zaopatrzenia w ciepło, energię elektryczną i paliwa gazowe dla miasta Lublin na lata 2019-2033 – uchwała nr 496/XII/2019 Rady Miasta Lublin z dnia 19 grudnia 2019 r.,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• Program ochrony środowiska przed hałasem miasta Lublin – uchwała nr 74/III/2019 Rady Miasta Lublin z dnia 31 stycznia 2019 r.,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• Studium uwarunkowań i kierunków zagospodarowania przestrzennego miasta Lublin - uchwała Rady Miasta Lublin nr 283/VIII/2019 z dnia 1 lipca 2019 r.,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• Miejscowe plany zagospodarowania przestrzennego miasta Lublin,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• Strategia ZIT dla Lubelskiego Obszaru Funkcjonalnego, zatwierdzona przez Prezydenta Miasta Lublin w dniu 9 marca 2016 r., pozytywnie zaopiniowana przez Ministerstwo Rozwoju w zakresie zgodności Strategii ZIT LOF z Umową Partnerstwa w dniu 31 marca 2016 r. oraz przez Zarząd Województwa Lubelskiego w dniu 12 kwietnia 2016 r.,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lastRenderedPageBreak/>
        <w:t>• Strategia Rozwoju Lublina na lata 2013-2020 – uchwała Rady Miasta Lublin nr 693/XXVIII/2013 z dnia 28 lutego 2013 r.,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• Plan zrównoważonego rozwoju publicznego transportu zbiorowego dla Gminy Lublin i gmin sąsiadujących, z którymi Gmina Lublin zawarła porozumienie w zakresie organizacji publicznego transportu zbiorowego – uchwała nr 674/XXVII/2013 Rady Miasta Lublin z dnia 17 stycznia 2013 roku z aktualizacją wprowadzoną uchwałą nr 128/IV/2019 z dnia 28 lutego 2019 r.,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• Plan Zrównoważonej Mobilności w Lublinie z września 2015 r.,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• Plan Mobilności Lubelskiego Obszaru Funkcjonalnego na lata 2017-2025 – uchwała</w:t>
      </w:r>
      <w:r w:rsidR="00995BF2">
        <w:rPr>
          <w:rFonts w:ascii="Arial" w:hAnsi="Arial" w:cs="Arial"/>
          <w:color w:val="000000"/>
        </w:rPr>
        <w:br/>
      </w:r>
      <w:r w:rsidRPr="00C63635">
        <w:rPr>
          <w:rFonts w:ascii="Arial" w:hAnsi="Arial" w:cs="Arial"/>
          <w:color w:val="000000"/>
        </w:rPr>
        <w:t>nr 1075/XLI/2018 Rady Miasta Lublin z dnia 22 marca 2018 r.</w:t>
      </w:r>
    </w:p>
    <w:p w:rsidR="009F6272" w:rsidRPr="00C63635" w:rsidRDefault="009F6272" w:rsidP="00995B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• Program rewitalizacji dla Lublina - uchwała nr 735/XXIX/2017 Rady Miasta Lublin z dnia</w:t>
      </w:r>
      <w:r w:rsidR="00995BF2">
        <w:rPr>
          <w:rFonts w:ascii="Arial" w:hAnsi="Arial" w:cs="Arial"/>
          <w:color w:val="000000"/>
        </w:rPr>
        <w:br/>
      </w:r>
      <w:r w:rsidRPr="00C63635">
        <w:rPr>
          <w:rFonts w:ascii="Arial" w:hAnsi="Arial" w:cs="Arial"/>
          <w:color w:val="000000"/>
        </w:rPr>
        <w:t>27 kwietnia 2017 roku ze zm.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 xml:space="preserve">Dodatkowo, działania zapisane w </w:t>
      </w:r>
      <w:r w:rsidRPr="00C63635">
        <w:rPr>
          <w:rFonts w:ascii="Arial" w:hAnsi="Arial" w:cs="Arial"/>
          <w:i/>
          <w:iCs/>
          <w:color w:val="000000"/>
        </w:rPr>
        <w:t xml:space="preserve">II Aktualizacji PGN </w:t>
      </w:r>
      <w:r w:rsidRPr="00C63635">
        <w:rPr>
          <w:rFonts w:ascii="Arial" w:hAnsi="Arial" w:cs="Arial"/>
          <w:color w:val="000000"/>
        </w:rPr>
        <w:t>są spójne z: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• Programem Rozwoju Odnawialnych Źródeł Energii dla Województwa Lubelskiego – uchwała nr XLI/623/2014 Sejmiku Województwa Lubelskiego z dnia 3 lutego 2014 r.,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• Strategią Rozwoju Województwa Lubelskiego na lata 2014 – 2020 (z perspektywą do 2030 roku) – uchwała nr XXXIV/559/2013 Sejmiku Województwa Lubelskiego z dnia 24 czerwca 2013 r.,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• Programem ochrony środowiska województwa lubelskiego na lata 2020-2023 z perspektywą do roku 2027 - uchwała nr XII/201/2019 Sejmiku Województwa Lubelskiego z dnia 3 grudnia 2019 r.,</w:t>
      </w:r>
    </w:p>
    <w:p w:rsidR="009F6272" w:rsidRDefault="009F6272" w:rsidP="00995B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 xml:space="preserve">• Programem ochrony środowiska przed hałasem dla województwa lubelskiego </w:t>
      </w:r>
      <w:r w:rsidR="00995BF2">
        <w:rPr>
          <w:rFonts w:ascii="Arial" w:hAnsi="Arial" w:cs="Arial"/>
          <w:color w:val="000000"/>
        </w:rPr>
        <w:t>–</w:t>
      </w:r>
      <w:r w:rsidRPr="00C63635">
        <w:rPr>
          <w:rFonts w:ascii="Arial" w:hAnsi="Arial" w:cs="Arial"/>
          <w:color w:val="000000"/>
        </w:rPr>
        <w:t xml:space="preserve"> uchwała</w:t>
      </w:r>
      <w:r w:rsidR="00995BF2">
        <w:rPr>
          <w:rFonts w:ascii="Arial" w:hAnsi="Arial" w:cs="Arial"/>
          <w:color w:val="000000"/>
        </w:rPr>
        <w:t xml:space="preserve"> </w:t>
      </w:r>
      <w:r w:rsidR="00995BF2">
        <w:rPr>
          <w:rFonts w:ascii="Arial" w:hAnsi="Arial" w:cs="Arial"/>
          <w:color w:val="000000"/>
        </w:rPr>
        <w:br/>
      </w:r>
      <w:r w:rsidRPr="00C63635">
        <w:rPr>
          <w:rFonts w:ascii="Arial" w:hAnsi="Arial" w:cs="Arial"/>
          <w:color w:val="000000"/>
        </w:rPr>
        <w:t>nr V/119/2019 Sejmiku Województwa Lubelskiego z dnia 25 kwietnia 2019 r.</w:t>
      </w:r>
    </w:p>
    <w:p w:rsidR="009F6272" w:rsidRPr="00C63635" w:rsidRDefault="009F6272" w:rsidP="00995B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c) przydatność w uwzględnieniu aspektów środowiskowych, w szczególności w celu wspierania zrównoważonego rozwoju, oraz we wdrażaniu prawa wspólnotowego w dziedzinie ochrony środowiska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 xml:space="preserve">Realizacja działań zaplanowanych w </w:t>
      </w:r>
      <w:r w:rsidRPr="00C63635">
        <w:rPr>
          <w:rFonts w:ascii="Arial" w:hAnsi="Arial" w:cs="Arial"/>
          <w:i/>
          <w:iCs/>
          <w:color w:val="000000"/>
        </w:rPr>
        <w:t xml:space="preserve">II Aktualizacji PGN </w:t>
      </w:r>
      <w:r w:rsidRPr="00C63635">
        <w:rPr>
          <w:rFonts w:ascii="Arial" w:hAnsi="Arial" w:cs="Arial"/>
          <w:color w:val="000000"/>
        </w:rPr>
        <w:t>wpłynie na poprawę efektywności energetycznej i poprawę jakości powietrza w Lublinie. Przyczyni się do realizacji celów Polski i UE związanych z efektywnością energetyczną, produkcją energii w źródłach odnawialnych oraz ochroną klimatu. Cele polityki energetyczno-klimatycznej UE do 2030 roku, oparte na pakiecie klimatyczno-energetycznym do 2020 r., to: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• ograniczenie o co najmniej 40% emisji gazów cieplarnianych (w stosunku do poziomu z 1990 r.),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• zapewnienie co najmniej 32% udziału energii ze źródeł odnawialnych w całkowitym zużyciu energii,</w:t>
      </w:r>
    </w:p>
    <w:p w:rsidR="009F6272" w:rsidRPr="00C63635" w:rsidRDefault="009F6272" w:rsidP="00995B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• zwiększenie o co najmniej 32,5% efektywności energetycznej.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Realizacja działań zawartych w dokumencie przyczyni się do realizacji wymogów Dyrektywy Parlamentu Europejskiego i Rady nr 2010/75/UE z dnia 24 listopada 2010 r. w sprawie emisji</w:t>
      </w:r>
      <w:r w:rsidR="00995BF2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przemysłowych (IED).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Wszystkie działania będą miały korzystny wpływ na środowisko. Nastąpi zmniejszenie zużycia paliw kopalnych, zmniejszenie emisji zanieczyszczeń do powietrza oraz ograniczenie emisji dwutlenku węgla, który jest jednym z czynników powodujących zmiany klimatu.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 xml:space="preserve">Działania zaplanowane w </w:t>
      </w:r>
      <w:r w:rsidRPr="00C63635">
        <w:rPr>
          <w:rFonts w:ascii="Arial" w:hAnsi="Arial" w:cs="Arial"/>
          <w:i/>
          <w:iCs/>
          <w:color w:val="000000"/>
        </w:rPr>
        <w:t xml:space="preserve">II Aktualizacji PGN </w:t>
      </w:r>
      <w:r w:rsidRPr="00C63635">
        <w:rPr>
          <w:rFonts w:ascii="Arial" w:hAnsi="Arial" w:cs="Arial"/>
          <w:color w:val="000000"/>
        </w:rPr>
        <w:t>wpływają na racjonalne wykorzystanie energii, co spowoduje poprawę stanu środowiska naturalnego i będzie istotnym czynnikiem zrównoważonego rozwoju oraz wdrażania prawa wspólnotowego w dziedzinie ochrony środowiska.</w:t>
      </w:r>
    </w:p>
    <w:p w:rsidR="009F6272" w:rsidRPr="00C63635" w:rsidRDefault="009F6272" w:rsidP="00995B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9F6272" w:rsidRPr="00C63635" w:rsidRDefault="009F6272" w:rsidP="00995B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d) powiązania z problemami dotyczącymi ochrony środowiska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 xml:space="preserve">Działania zapisane w </w:t>
      </w:r>
      <w:r w:rsidRPr="00C63635">
        <w:rPr>
          <w:rFonts w:ascii="Arial" w:hAnsi="Arial" w:cs="Arial"/>
          <w:i/>
          <w:iCs/>
          <w:color w:val="000000"/>
        </w:rPr>
        <w:t xml:space="preserve">II Aktualizacji PGN </w:t>
      </w:r>
      <w:r w:rsidRPr="00C63635">
        <w:rPr>
          <w:rFonts w:ascii="Arial" w:hAnsi="Arial" w:cs="Arial"/>
          <w:color w:val="000000"/>
        </w:rPr>
        <w:t>będą wpływały na poprawę jakości powietrza</w:t>
      </w:r>
      <w:r w:rsidR="00995BF2">
        <w:rPr>
          <w:rFonts w:ascii="Arial" w:hAnsi="Arial" w:cs="Arial"/>
          <w:color w:val="000000"/>
        </w:rPr>
        <w:br/>
      </w:r>
      <w:r w:rsidRPr="00C63635">
        <w:rPr>
          <w:rFonts w:ascii="Arial" w:hAnsi="Arial" w:cs="Arial"/>
          <w:color w:val="000000"/>
        </w:rPr>
        <w:t xml:space="preserve">w Lublinie oraz zmniejszenie emisji dwutlenku węgla. Działania takie jak termomodernizacja, realizacja Programu Ograniczania Niskiej Emisji, budowa instalacji odnawialnych źródeł energii są spójne z propozycjami działań naprawczych zawartych w Programach ochrony powietrza dla strefy aglomeracja lubelska. Poprawa jakości powietrza będzie pozytywnie oddziaływać na ludzi oraz wpłynie na poprawę ich zdrowia. Cele PGN i działania zaplanowane w </w:t>
      </w:r>
      <w:r w:rsidRPr="00C63635">
        <w:rPr>
          <w:rFonts w:ascii="Arial" w:hAnsi="Arial" w:cs="Arial"/>
          <w:i/>
          <w:iCs/>
          <w:color w:val="000000"/>
        </w:rPr>
        <w:t xml:space="preserve">II Aktualizacji PGN </w:t>
      </w:r>
      <w:r w:rsidRPr="00C63635">
        <w:rPr>
          <w:rFonts w:ascii="Arial" w:hAnsi="Arial" w:cs="Arial"/>
          <w:color w:val="000000"/>
        </w:rPr>
        <w:t>wpływają na zmniejszenie emisji</w:t>
      </w:r>
      <w:r w:rsidR="00995BF2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dwutlenku węgla, a tym samym mają korzystny wpływ na ochronę klimatu. Jest to spójne z celami i katalogiem działań ujętych</w:t>
      </w:r>
      <w:r w:rsidR="00995BF2">
        <w:rPr>
          <w:rFonts w:ascii="Arial" w:hAnsi="Arial" w:cs="Arial"/>
          <w:color w:val="000000"/>
        </w:rPr>
        <w:br/>
      </w:r>
      <w:r w:rsidRPr="00C63635">
        <w:rPr>
          <w:rFonts w:ascii="Arial" w:hAnsi="Arial" w:cs="Arial"/>
          <w:color w:val="000000"/>
        </w:rPr>
        <w:t xml:space="preserve">w </w:t>
      </w:r>
      <w:r w:rsidRPr="00995BF2">
        <w:rPr>
          <w:rFonts w:ascii="Arial" w:hAnsi="Arial" w:cs="Arial"/>
          <w:i/>
          <w:color w:val="000000"/>
        </w:rPr>
        <w:t>Planie Adaptacji do zmian klimatu Miasta Lublin do roku 2030</w:t>
      </w:r>
      <w:r w:rsidRPr="00C63635">
        <w:rPr>
          <w:rFonts w:ascii="Arial" w:hAnsi="Arial" w:cs="Arial"/>
          <w:color w:val="000000"/>
        </w:rPr>
        <w:t>. Zmniejszenie emisji dwutlenku węgla wpłynie na ochronę wód przed zakwaszeniem, ochronę ekosystemów</w:t>
      </w:r>
      <w:r w:rsidR="00995BF2">
        <w:rPr>
          <w:rFonts w:ascii="Arial" w:hAnsi="Arial" w:cs="Arial"/>
          <w:color w:val="000000"/>
        </w:rPr>
        <w:br/>
      </w:r>
      <w:r w:rsidRPr="00C63635">
        <w:rPr>
          <w:rFonts w:ascii="Arial" w:hAnsi="Arial" w:cs="Arial"/>
          <w:color w:val="000000"/>
        </w:rPr>
        <w:t>i bioróżnorodności.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Wykorzystanie pojazdów elektrycznych, oprócz ograniczenia niskiej emisji, wpłynie na zmniejszenie hałasu powodowanego przez transport.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 xml:space="preserve">Działania nie będą w bezpośredni sposób oddziaływać na wody podziemne i powierzchniowe. Działania planowane do realizacji w </w:t>
      </w:r>
      <w:r w:rsidRPr="00C63635">
        <w:rPr>
          <w:rFonts w:ascii="Arial" w:hAnsi="Arial" w:cs="Arial"/>
          <w:i/>
          <w:iCs/>
          <w:color w:val="000000"/>
        </w:rPr>
        <w:t xml:space="preserve">II Aktualizacji PGN </w:t>
      </w:r>
      <w:r w:rsidRPr="00C63635">
        <w:rPr>
          <w:rFonts w:ascii="Arial" w:hAnsi="Arial" w:cs="Arial"/>
          <w:color w:val="000000"/>
        </w:rPr>
        <w:t>mogą krótkotrwale negatywnie oddziaływać na środowisko na etapie realizacji.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Dla nowych zadań typu: wymiana oświetlenia zewnętrznego i wewnętrznego na energooszczędne LED, zakup pojazdów elektrycznych oraz budowa instalacji fotowoltaicznej o mocy 0,16 MW i 0,088 MW nie jest wymagane uzyskanie decyzji o środowiskowych uwarunkowaniach.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Działania Gminy Lublin, w których został zmieniony zakres rzeczowy inwestycji posiadają decyzje o środowiskowych uwarunkowaniach: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• Zintegrowane Centrum Komunikacyjne dla Lubelskiego Obszaru Funkcjonalnego –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decyzja znak: WOOŚ.420.67.2018.KPR z dnia 20.09.2019 r.,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• Przebudowa strategicznego korytarza transportu zbiorowego wraz z zakupem taboru</w:t>
      </w:r>
      <w:r w:rsidR="00995BF2">
        <w:rPr>
          <w:rFonts w:ascii="Arial" w:hAnsi="Arial" w:cs="Arial"/>
          <w:color w:val="000000"/>
        </w:rPr>
        <w:br/>
      </w:r>
      <w:r w:rsidRPr="00C63635">
        <w:rPr>
          <w:rFonts w:ascii="Arial" w:hAnsi="Arial" w:cs="Arial"/>
          <w:color w:val="000000"/>
        </w:rPr>
        <w:t>w centralnej części obszaru LOF - znak: OŚ-OŚ-III.6220.133.2013 z dnia 31.12.2016 r.</w:t>
      </w:r>
    </w:p>
    <w:p w:rsidR="00EA4FBF" w:rsidRPr="00C63635" w:rsidRDefault="00EA4FBF" w:rsidP="00995B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9F6272" w:rsidRPr="00C63635" w:rsidRDefault="009F6272" w:rsidP="00995B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2) Rodzaj i skalę oddziaływania na środowisko, w szczególności:</w:t>
      </w:r>
    </w:p>
    <w:p w:rsidR="009F6272" w:rsidRPr="00C63635" w:rsidRDefault="009F6272" w:rsidP="00995B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a) prawdopodobieństwo wystąpienia, czas trwania, zasięg, częstotliwość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i odwracalność oddziaływań</w:t>
      </w:r>
    </w:p>
    <w:p w:rsidR="009F6272" w:rsidRDefault="009F6272" w:rsidP="00995B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 xml:space="preserve">Oddziaływanie działań ujętych w </w:t>
      </w:r>
      <w:r w:rsidRPr="00C63635">
        <w:rPr>
          <w:rFonts w:ascii="Arial" w:hAnsi="Arial" w:cs="Arial"/>
          <w:i/>
          <w:iCs/>
          <w:color w:val="000000"/>
        </w:rPr>
        <w:t xml:space="preserve">II Aktualizacji PGN </w:t>
      </w:r>
      <w:r w:rsidRPr="00C63635">
        <w:rPr>
          <w:rFonts w:ascii="Arial" w:hAnsi="Arial" w:cs="Arial"/>
          <w:color w:val="000000"/>
        </w:rPr>
        <w:t>ogranicza się do terenu Gminy Lublin.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Skala przedsięwzięć ma charakter regionalny i ewentualne negatywne ich oddziaływanie na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środowisko będzie miało zasięg lokalny. Zadania przewidziane do realizacji nie wiążą się ze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znacznym wykorzystaniem zasobów naturalnych czy wystąpieniem awarii przemysłowej.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Etap realizacji inwestycji może negatywnie oddziaływać na środowisko. Oddziaływanie to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będzie jednak miało charakter lokalny, tymczasowy, krótkotrwały i ustąpi po zakończeniu prac.</w:t>
      </w:r>
    </w:p>
    <w:p w:rsidR="009F6272" w:rsidRPr="00C63635" w:rsidRDefault="009F6272" w:rsidP="00995B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b) prawdopodobieństwo wystąpienia oddziaływań skumulowanych lub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transgranicznych</w:t>
      </w:r>
    </w:p>
    <w:p w:rsidR="009F6272" w:rsidRPr="00C63635" w:rsidRDefault="009F6272" w:rsidP="00995B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Uwzględniając lokalizację Lublina i charakter działań, nie przewiduje się prawdopodobieństwa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wystąpienia oddziaływań skumulowanych lub transgranicznych. Nie nastąpi degradacja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ekosystemów. Realizacja wpłynie na poprawę jakości powietrza i zmniejszenie hałasu.</w:t>
      </w:r>
    </w:p>
    <w:p w:rsidR="009F6272" w:rsidRPr="00C63635" w:rsidRDefault="009F6272" w:rsidP="00995B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c) prawdopodobieństwo wystąpienia ryzyka dla zdrowia ludzi lub zagrożenia dla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środowiska</w:t>
      </w:r>
    </w:p>
    <w:p w:rsidR="009F6272" w:rsidRDefault="009F6272" w:rsidP="00995B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lastRenderedPageBreak/>
        <w:t>Nie przewiduje się wystąpienia ryzyka dla zdrowia ludzi czy zagrożenia dla środowiska.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 xml:space="preserve">Realizacja działań zaplanowanych w </w:t>
      </w:r>
      <w:r w:rsidRPr="00C63635">
        <w:rPr>
          <w:rFonts w:ascii="Arial" w:hAnsi="Arial" w:cs="Arial"/>
          <w:i/>
          <w:iCs/>
          <w:color w:val="000000"/>
        </w:rPr>
        <w:t xml:space="preserve">II Aktualizacji PGN </w:t>
      </w:r>
      <w:r w:rsidRPr="00C63635">
        <w:rPr>
          <w:rFonts w:ascii="Arial" w:hAnsi="Arial" w:cs="Arial"/>
          <w:color w:val="000000"/>
        </w:rPr>
        <w:t>wpłynie pozytywnie na środowisko.</w:t>
      </w:r>
    </w:p>
    <w:p w:rsidR="00995BF2" w:rsidRPr="00C63635" w:rsidRDefault="00995BF2" w:rsidP="00995B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9F6272" w:rsidRPr="00C63635" w:rsidRDefault="009F6272" w:rsidP="00995B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3) Cechy obszaru objętego oddziaływaniem na środowisko, w szczególności:</w:t>
      </w:r>
    </w:p>
    <w:p w:rsidR="009F6272" w:rsidRPr="00C63635" w:rsidRDefault="009F6272" w:rsidP="00995B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a) obszary o szczególnych właściwościach naturalnych lub posiadające znaczenie dla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dziedzictwa kulturowego, wrażliwe na oddziaływania, istniejące przekroczenia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standardów jakości środowiska lub intensywne wykorzystywanie terenu</w:t>
      </w:r>
    </w:p>
    <w:p w:rsidR="009F6272" w:rsidRPr="00C63635" w:rsidRDefault="009F6272" w:rsidP="00995B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 xml:space="preserve">Działania zaplanowane w </w:t>
      </w:r>
      <w:r w:rsidRPr="00C63635">
        <w:rPr>
          <w:rFonts w:ascii="Arial" w:hAnsi="Arial" w:cs="Arial"/>
          <w:i/>
          <w:iCs/>
          <w:color w:val="000000"/>
        </w:rPr>
        <w:t xml:space="preserve">II Aktualizacji PGN </w:t>
      </w:r>
      <w:r w:rsidRPr="00C63635">
        <w:rPr>
          <w:rFonts w:ascii="Arial" w:hAnsi="Arial" w:cs="Arial"/>
          <w:color w:val="000000"/>
        </w:rPr>
        <w:t>nie wpłyną negatywnie na obszary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o szczególnych właściwościach naturalnych lub posiadających znaczenie dla dziedzictwa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kulturowego, wrażliwych na oddziaływania. Realizacja działań nie wpłynie na stan obszarów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i obiektów objętych ochroną konserwatorską, nie spowoduje także przekroczenia standardów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jakości środowiska.</w:t>
      </w:r>
    </w:p>
    <w:p w:rsidR="009F6272" w:rsidRPr="00C63635" w:rsidRDefault="009F6272" w:rsidP="00995B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b) formy ochrony przyrody w rozumieniu ustawy z dnia 16 kwietnia 2004 r.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o ochronie przyrody oraz obszary podlegające ochronie zgodnie z prawem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międzynarodowym.</w:t>
      </w:r>
    </w:p>
    <w:p w:rsidR="009F6272" w:rsidRPr="00C63635" w:rsidRDefault="009F6272" w:rsidP="00995B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Zgodnie z ustawą z dnia 16 kwietnia 2004 r. o ochronie przyrody, formami prawnej ochrony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 xml:space="preserve">w </w:t>
      </w:r>
      <w:r w:rsidR="00EA4FBF" w:rsidRPr="00C63635">
        <w:rPr>
          <w:rFonts w:ascii="Arial" w:hAnsi="Arial" w:cs="Arial"/>
          <w:color w:val="000000"/>
        </w:rPr>
        <w:t>g</w:t>
      </w:r>
      <w:r w:rsidRPr="00C63635">
        <w:rPr>
          <w:rFonts w:ascii="Arial" w:hAnsi="Arial" w:cs="Arial"/>
          <w:color w:val="000000"/>
        </w:rPr>
        <w:t>ranicach Lublina są:</w:t>
      </w:r>
    </w:p>
    <w:p w:rsidR="009F6272" w:rsidRPr="00C63635" w:rsidRDefault="009F6272" w:rsidP="00995B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• Rezerwat przyrody „Stasin” utworzony zarządzeniem Ministra Leśnictwa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i Przemysłu Drzewnego z dnia 3 grudnia 1981 r., M.P. nr 29, poz. 271), położony na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terenie lasu „Stary Gaj” (w jego północno-zachodniej części), o powierzchni 24,4 ha.</w:t>
      </w:r>
    </w:p>
    <w:p w:rsidR="009F6272" w:rsidRPr="00C63635" w:rsidRDefault="009F6272" w:rsidP="00995B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Celem ochrony jest stanowisko brzozy czarnej rosnącej na siedlisku lasu świeżego,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z dominacją brzozy brodawkowatej i dużym udziałem osiki i grabu oraz lipy i dębu.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W runie stwierdzono występowanie 102 gatunków roślin naczyniowych, w tym prawnie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 xml:space="preserve">chronionych (m.in.: wawrzynek </w:t>
      </w:r>
      <w:proofErr w:type="spellStart"/>
      <w:r w:rsidRPr="00C63635">
        <w:rPr>
          <w:rFonts w:ascii="Arial" w:hAnsi="Arial" w:cs="Arial"/>
          <w:color w:val="000000"/>
        </w:rPr>
        <w:t>wilczełyko</w:t>
      </w:r>
      <w:proofErr w:type="spellEnd"/>
      <w:r w:rsidRPr="00C63635">
        <w:rPr>
          <w:rFonts w:ascii="Arial" w:hAnsi="Arial" w:cs="Arial"/>
          <w:color w:val="000000"/>
        </w:rPr>
        <w:t>, parzydło leśne, lilia złotogłów, podkolan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zielonawy, gnieźnik leśny) i 19 gatunków ptaków chronionych (m.in.: grubodziób,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muchówka żałobna, dzięcioł duży, wilga) oraz chronionego gatunku grzyba (sromotnik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bezwstydny);</w:t>
      </w:r>
    </w:p>
    <w:p w:rsidR="009F6272" w:rsidRPr="00C63635" w:rsidRDefault="009F6272" w:rsidP="00995B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 xml:space="preserve">• </w:t>
      </w:r>
      <w:proofErr w:type="spellStart"/>
      <w:r w:rsidRPr="00C63635">
        <w:rPr>
          <w:rFonts w:ascii="Arial" w:hAnsi="Arial" w:cs="Arial"/>
          <w:color w:val="000000"/>
        </w:rPr>
        <w:t>Czerniejowski</w:t>
      </w:r>
      <w:proofErr w:type="spellEnd"/>
      <w:r w:rsidRPr="00C63635">
        <w:rPr>
          <w:rFonts w:ascii="Arial" w:hAnsi="Arial" w:cs="Arial"/>
          <w:color w:val="000000"/>
        </w:rPr>
        <w:t xml:space="preserve"> Obszar Chronionego Krajobrazu ustanowiony Uchwałą nr XI/56/90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WRN w Lublinie z dnia 26.02.1990 r. w sprawie utworzenia systemu parków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krajobrazowych i obszarów chronionego krajobrazu na terenie woj. lubelskiego (Dz.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Urz. Woj. Lub. Nr 13, poz. 14) oraz Rozporządzeniem nr 40 Wojewody Lubelskiego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z dnia 17 lutego 2006 r. (Dz. Urz. Woj. Lub. z 31 marca 2006 r. Nr 65, poz. 1225), który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obejmuje swym zasięgiem fragment doliny Bystrzycy poniżej torów kolejowych Lublin –Warszawa z lasami „Stary Gaj” i „Dąbrowa”;</w:t>
      </w:r>
    </w:p>
    <w:p w:rsidR="009F6272" w:rsidRPr="00C63635" w:rsidRDefault="009F6272" w:rsidP="00995B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• Obszar Chronionego Krajobrazu „Dolina Ciemięgi” ustanowiony Uchwałą nr XI/56/90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WRN w Lublinie z dnia 26 lutego1990 r. w sprawie utworzenia systemu parków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krajobrazowych i obszarów chronionego krajobrazu na terenie woj. lubelskiego (Dz.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Urz. Woj. Lub. Nr 13, poz.14) oraz Rozporządzeniem nr 42 Wojewody Lubelskiego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z 17 lutego 2006 r. (Dz. Urz. Woj. Lub. z 31 marca 2006 r. Nr 65, poz.1227),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obejmujący zasięgiem niewielki, północno-zachodni fragment obszaru miasta;</w:t>
      </w:r>
    </w:p>
    <w:p w:rsidR="009F6272" w:rsidRPr="00C63635" w:rsidRDefault="009F6272" w:rsidP="001023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 xml:space="preserve">• Obszar Natura 2000 „Bystrzyca </w:t>
      </w:r>
      <w:proofErr w:type="spellStart"/>
      <w:r w:rsidRPr="00C63635">
        <w:rPr>
          <w:rFonts w:ascii="Arial" w:hAnsi="Arial" w:cs="Arial"/>
          <w:color w:val="000000"/>
        </w:rPr>
        <w:t>Jakubowicka</w:t>
      </w:r>
      <w:proofErr w:type="spellEnd"/>
      <w:r w:rsidRPr="00C63635">
        <w:rPr>
          <w:rFonts w:ascii="Arial" w:hAnsi="Arial" w:cs="Arial"/>
          <w:color w:val="000000"/>
        </w:rPr>
        <w:t>” PLH 060096 chroniony jako specjalny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obszar ochrony siedlisk o powierzchni 456,2 ha, obejmujący fragment doliny rzeki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Bystrzycy wraz z ujściowym odcinkiem doliny rzeki Ciemięgi oraz stoki obu dolin. Jest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 xml:space="preserve">ważną ostoją </w:t>
      </w:r>
      <w:proofErr w:type="spellStart"/>
      <w:r w:rsidRPr="00C63635">
        <w:rPr>
          <w:rFonts w:ascii="Arial" w:hAnsi="Arial" w:cs="Arial"/>
          <w:color w:val="000000"/>
        </w:rPr>
        <w:t>staroduba</w:t>
      </w:r>
      <w:proofErr w:type="spellEnd"/>
      <w:r w:rsidRPr="00C63635">
        <w:rPr>
          <w:rFonts w:ascii="Arial" w:hAnsi="Arial" w:cs="Arial"/>
          <w:color w:val="000000"/>
        </w:rPr>
        <w:t xml:space="preserve"> łąkowego oraz dla populacji czterech gatunków motyli.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 xml:space="preserve">Występuje tu sześć rodzajów siedlisk, </w:t>
      </w:r>
      <w:r w:rsidRPr="00C63635">
        <w:rPr>
          <w:rFonts w:ascii="Arial" w:hAnsi="Arial" w:cs="Arial"/>
          <w:color w:val="000000"/>
        </w:rPr>
        <w:lastRenderedPageBreak/>
        <w:t>z których największe znaczenie mają łąki</w:t>
      </w:r>
      <w:r w:rsidR="00EA4FBF" w:rsidRPr="00C63635">
        <w:rPr>
          <w:rFonts w:ascii="Arial" w:hAnsi="Arial" w:cs="Arial"/>
          <w:color w:val="000000"/>
        </w:rPr>
        <w:t xml:space="preserve"> </w:t>
      </w:r>
      <w:proofErr w:type="spellStart"/>
      <w:r w:rsidRPr="00C63635">
        <w:rPr>
          <w:rFonts w:ascii="Arial" w:hAnsi="Arial" w:cs="Arial"/>
          <w:color w:val="000000"/>
        </w:rPr>
        <w:t>zmienno</w:t>
      </w:r>
      <w:proofErr w:type="spellEnd"/>
      <w:r w:rsidRPr="00C63635">
        <w:rPr>
          <w:rFonts w:ascii="Arial" w:hAnsi="Arial" w:cs="Arial"/>
          <w:color w:val="000000"/>
        </w:rPr>
        <w:t xml:space="preserve"> wilgotne, niżowe łąki użytkowane ekstensywnie i murawy kserotermiczne.</w:t>
      </w:r>
    </w:p>
    <w:p w:rsidR="009F6272" w:rsidRPr="00C63635" w:rsidRDefault="009F6272" w:rsidP="001023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W granicach miasta znajduje się niewielka część ostoi obejmująca stok doliny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Bystrzycy;</w:t>
      </w:r>
    </w:p>
    <w:p w:rsidR="009F6272" w:rsidRPr="00C63635" w:rsidRDefault="009F6272" w:rsidP="001023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• 60 pomników przyrody – są to pojedyncze drzewa, grupy drzew i aleje.</w:t>
      </w:r>
    </w:p>
    <w:p w:rsidR="009F6272" w:rsidRPr="00C63635" w:rsidRDefault="009F6272" w:rsidP="00995B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 xml:space="preserve">Realizacja działań zawartych w </w:t>
      </w:r>
      <w:r w:rsidRPr="00C63635">
        <w:rPr>
          <w:rFonts w:ascii="Arial" w:hAnsi="Arial" w:cs="Arial"/>
          <w:i/>
          <w:iCs/>
          <w:color w:val="000000"/>
        </w:rPr>
        <w:t xml:space="preserve">II Aktualizacji PGN </w:t>
      </w:r>
      <w:r w:rsidRPr="00C63635">
        <w:rPr>
          <w:rFonts w:ascii="Arial" w:hAnsi="Arial" w:cs="Arial"/>
          <w:color w:val="000000"/>
        </w:rPr>
        <w:t>nie wpłynie negatywnie na stan siedlisk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przyrodniczych oraz siedlisk gatunków, nie będzie powodowała utraty lub fragmentacji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kluczowych siedlisk przyrodniczych oraz siedlisk gatunków roślin i zwierząt, dla ochrony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których wyznaczono obszary. Nie będzie w sposób skumulowany wpływać na sieć obszarów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Natura 2000 oraz nie wpłynie negatywnie na zachowanie spójności i integralności sieci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ekologicznej Natura 2000.</w:t>
      </w:r>
    </w:p>
    <w:p w:rsidR="009F6272" w:rsidRPr="00C63635" w:rsidRDefault="009F6272" w:rsidP="001023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 xml:space="preserve">Opis uwarunkowań wskazuje, że charakter działań zawartych w </w:t>
      </w:r>
      <w:r w:rsidRPr="00C63635">
        <w:rPr>
          <w:rFonts w:ascii="Arial" w:hAnsi="Arial" w:cs="Arial"/>
          <w:i/>
          <w:iCs/>
          <w:color w:val="000000"/>
        </w:rPr>
        <w:t>II Aktualizacji PGN</w:t>
      </w:r>
      <w:r w:rsidR="00EA4FBF" w:rsidRPr="00C63635">
        <w:rPr>
          <w:rFonts w:ascii="Arial" w:hAnsi="Arial" w:cs="Arial"/>
          <w:i/>
          <w:iCs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 xml:space="preserve">przyniesie </w:t>
      </w:r>
      <w:bookmarkStart w:id="0" w:name="_GoBack"/>
      <w:bookmarkEnd w:id="0"/>
      <w:r w:rsidRPr="00C63635">
        <w:rPr>
          <w:rFonts w:ascii="Arial" w:hAnsi="Arial" w:cs="Arial"/>
          <w:color w:val="000000"/>
        </w:rPr>
        <w:t>pozytywne, długoterminowe skutki dla środowiska, takie jak: poprawa jakości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powietrza w Lublinie, poprawa stanu zdrowia ludzi, zmniejszenie zużycia energii w mieście,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zmniejszenie wykorzystania paliw kopalnych, ograniczenie emisji CO2, ochrona klimatu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i przeciwdziałanie jego zmianom.</w:t>
      </w:r>
    </w:p>
    <w:p w:rsidR="009F6272" w:rsidRPr="00C63635" w:rsidRDefault="009F6272" w:rsidP="001023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 xml:space="preserve">Działania nowe, zgłoszone do </w:t>
      </w:r>
      <w:r w:rsidRPr="00C63635">
        <w:rPr>
          <w:rFonts w:ascii="Arial" w:hAnsi="Arial" w:cs="Arial"/>
          <w:i/>
          <w:iCs/>
          <w:color w:val="000000"/>
        </w:rPr>
        <w:t>II Aktualizacji PGN</w:t>
      </w:r>
      <w:r w:rsidRPr="00C63635">
        <w:rPr>
          <w:rFonts w:ascii="Arial" w:hAnsi="Arial" w:cs="Arial"/>
          <w:color w:val="000000"/>
        </w:rPr>
        <w:t>, takie jak wymiana oświetlenia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zewnętrznego i wewnętrznego na energooszczędne LED, zakup samochodów elektrycznych,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 xml:space="preserve">budowa instalacji fotowoltaicznych do produkcji energii elektrycznej o mocy 0,16 </w:t>
      </w:r>
      <w:proofErr w:type="spellStart"/>
      <w:r w:rsidRPr="00C63635">
        <w:rPr>
          <w:rFonts w:ascii="Arial" w:hAnsi="Arial" w:cs="Arial"/>
          <w:color w:val="000000"/>
        </w:rPr>
        <w:t>MWe</w:t>
      </w:r>
      <w:proofErr w:type="spellEnd"/>
      <w:r w:rsidRPr="00C63635">
        <w:rPr>
          <w:rFonts w:ascii="Arial" w:hAnsi="Arial" w:cs="Arial"/>
          <w:color w:val="000000"/>
        </w:rPr>
        <w:t>, i 0,088</w:t>
      </w:r>
      <w:r w:rsidR="00EA4FBF" w:rsidRPr="00C63635">
        <w:rPr>
          <w:rFonts w:ascii="Arial" w:hAnsi="Arial" w:cs="Arial"/>
          <w:color w:val="000000"/>
        </w:rPr>
        <w:t xml:space="preserve"> </w:t>
      </w:r>
      <w:proofErr w:type="spellStart"/>
      <w:r w:rsidRPr="00C63635">
        <w:rPr>
          <w:rFonts w:ascii="Arial" w:hAnsi="Arial" w:cs="Arial"/>
          <w:color w:val="000000"/>
        </w:rPr>
        <w:t>MWe</w:t>
      </w:r>
      <w:proofErr w:type="spellEnd"/>
      <w:r w:rsidRPr="00C63635">
        <w:rPr>
          <w:rFonts w:ascii="Arial" w:hAnsi="Arial" w:cs="Arial"/>
          <w:color w:val="000000"/>
        </w:rPr>
        <w:t>, nie podlegają obowiązkowi uzyskania decyzji o środowiskowych uwarunkowaniach.</w:t>
      </w:r>
    </w:p>
    <w:p w:rsidR="009F6272" w:rsidRPr="00C63635" w:rsidRDefault="009F6272" w:rsidP="001023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Projekty Gminy Lublin „Zintegrowane Centrum Komunikacyjne dla Lubelskiego Obszaru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Funkcjonalnego” oraz „Przebudowa strategicznego korytarza transportu zbiorowego wraz</w:t>
      </w:r>
      <w:r w:rsidR="00102322">
        <w:rPr>
          <w:rFonts w:ascii="Arial" w:hAnsi="Arial" w:cs="Arial"/>
          <w:color w:val="000000"/>
        </w:rPr>
        <w:br/>
      </w:r>
      <w:r w:rsidRPr="00C63635">
        <w:rPr>
          <w:rFonts w:ascii="Arial" w:hAnsi="Arial" w:cs="Arial"/>
          <w:color w:val="000000"/>
        </w:rPr>
        <w:t>z zakupem taboru w centralnej części obszaru LOF” mają zmniejszone zakresy rzeczowe.</w:t>
      </w:r>
    </w:p>
    <w:p w:rsidR="009F6272" w:rsidRPr="00C63635" w:rsidRDefault="009F6272" w:rsidP="001023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>Oba działania uzyskały decyzje o środowiskowych uwarunkowaniach, odpowiednio decyzja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znak: WOOŚ.420.67.2018.KPR z dnia 20.09.2019 r. oraz decyzja znak: OŚ-OŚ-III.6220.133.2013 z dnia 31.12.2016 r.</w:t>
      </w:r>
    </w:p>
    <w:p w:rsidR="009F6272" w:rsidRPr="00C63635" w:rsidRDefault="009F6272" w:rsidP="00995B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63635">
        <w:rPr>
          <w:rFonts w:ascii="Arial" w:hAnsi="Arial" w:cs="Arial"/>
          <w:color w:val="000000"/>
        </w:rPr>
        <w:t xml:space="preserve">Biorąc powyższe pod uwagę należy uznać, że zmiany wprowadzone </w:t>
      </w:r>
      <w:r w:rsidRPr="00C63635">
        <w:rPr>
          <w:rFonts w:ascii="Arial" w:hAnsi="Arial" w:cs="Arial"/>
          <w:i/>
          <w:iCs/>
          <w:color w:val="000000"/>
        </w:rPr>
        <w:t>II Aktualizacją</w:t>
      </w:r>
      <w:r w:rsidR="00EA4FBF" w:rsidRPr="00C63635">
        <w:rPr>
          <w:rFonts w:ascii="Arial" w:hAnsi="Arial" w:cs="Arial"/>
          <w:i/>
          <w:iCs/>
          <w:color w:val="000000"/>
        </w:rPr>
        <w:t xml:space="preserve"> </w:t>
      </w:r>
      <w:r w:rsidRPr="00C63635">
        <w:rPr>
          <w:rFonts w:ascii="Arial" w:hAnsi="Arial" w:cs="Arial"/>
          <w:i/>
          <w:iCs/>
          <w:color w:val="000000"/>
        </w:rPr>
        <w:t xml:space="preserve">PGN </w:t>
      </w:r>
      <w:r w:rsidRPr="00C63635">
        <w:rPr>
          <w:rFonts w:ascii="Arial" w:hAnsi="Arial" w:cs="Arial"/>
          <w:color w:val="000000"/>
        </w:rPr>
        <w:t>stanowią niewielką modyfikację obowiązującego dotychczas dokumentu, zaś charakter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planowanych działań, rodzaj i skala oddziaływania na środowisko oraz cechy obszaru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objętego spodziewanym oddziaływaniem sprawiają, że realizacja postanowień dokumentu nie</w:t>
      </w:r>
      <w:r w:rsidR="00EA4FBF" w:rsidRPr="00C63635">
        <w:rPr>
          <w:rFonts w:ascii="Arial" w:hAnsi="Arial" w:cs="Arial"/>
          <w:color w:val="000000"/>
        </w:rPr>
        <w:t xml:space="preserve"> </w:t>
      </w:r>
      <w:r w:rsidRPr="00C63635">
        <w:rPr>
          <w:rFonts w:ascii="Arial" w:hAnsi="Arial" w:cs="Arial"/>
          <w:color w:val="000000"/>
        </w:rPr>
        <w:t>spowoduje znaczącego oddziaływania na środowisko, w tym na obszary Natura 2000.</w:t>
      </w:r>
    </w:p>
    <w:sectPr w:rsidR="009F6272" w:rsidRPr="00C63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C9"/>
    <w:rsid w:val="00102322"/>
    <w:rsid w:val="001629C9"/>
    <w:rsid w:val="001A6F9D"/>
    <w:rsid w:val="0074233D"/>
    <w:rsid w:val="00995BF2"/>
    <w:rsid w:val="009B4DF6"/>
    <w:rsid w:val="009F6272"/>
    <w:rsid w:val="00C0636D"/>
    <w:rsid w:val="00C63635"/>
    <w:rsid w:val="00E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6A6D1-9833-4166-91E3-961A9723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2148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Sobol</dc:creator>
  <cp:keywords/>
  <dc:description/>
  <cp:lastModifiedBy>Bożena Sobol</cp:lastModifiedBy>
  <cp:revision>4</cp:revision>
  <dcterms:created xsi:type="dcterms:W3CDTF">2020-03-04T10:54:00Z</dcterms:created>
  <dcterms:modified xsi:type="dcterms:W3CDTF">2020-03-05T08:36:00Z</dcterms:modified>
</cp:coreProperties>
</file>