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320" w:after="320"/>
        <w:rPr>
          <w:rFonts w:ascii="Arial" w:hAnsi="Arial"/>
          <w:caps/>
          <w:color w:val="000000"/>
          <w:sz w:val="24"/>
          <w:szCs w:val="24"/>
        </w:rPr>
      </w:pPr>
      <w:r>
        <w:rPr/>
        <w:t>Plan działania na rzecz poprawy zapewnienia dostępności osobom ze szczególnymi potrzebami na lata 2022 – 2025 Urzędu Miasta Lublin i jednostek organizacyjnych miasta Lublin</w:t>
      </w:r>
    </w:p>
    <w:p>
      <w:pPr>
        <w:pStyle w:val="Normal"/>
        <w:rPr>
          <w:rFonts w:ascii="Arial" w:hAnsi="Arial"/>
          <w:caps/>
          <w:color w:val="000000"/>
          <w:sz w:val="24"/>
          <w:szCs w:val="24"/>
        </w:rPr>
      </w:pPr>
      <w:r>
        <w:rPr>
          <w:color w:val="000000"/>
        </w:rPr>
        <w:t>Na podstawie art. 14 w związku z art. 6 ustawy z dnia 19 lipca 2019 r. o zapewnieniu dostępności osobom ze szczególnymi potrzebami (Dz. U. z 2019 r. poz. 1696, z późn. zm.) ustala się plan działania na rzecz poprawy zapewnienia dostępności osobom ze szczególnymi potrzebami</w:t>
      </w:r>
    </w:p>
    <w:tbl>
      <w:tblPr>
        <w:tblW w:w="9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0"/>
        <w:gridCol w:w="2400"/>
        <w:gridCol w:w="1920"/>
        <w:gridCol w:w="2880"/>
        <w:gridCol w:w="1520"/>
      </w:tblGrid>
      <w:tr>
        <w:trPr>
          <w:tblHeader w:val="true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/>
            </w:pPr>
            <w:r>
              <w:rPr>
                <w:rStyle w:val="Mocnewyrnion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/>
            </w:pPr>
            <w:r>
              <w:rPr>
                <w:rStyle w:val="Mocnewyrnione"/>
                <w:b/>
                <w:bCs/>
                <w:sz w:val="22"/>
                <w:szCs w:val="22"/>
              </w:rPr>
              <w:t>Zakres działalności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/>
            </w:pPr>
            <w:r>
              <w:rPr>
                <w:rStyle w:val="Mocnewyrnione"/>
                <w:b/>
                <w:bCs/>
                <w:sz w:val="22"/>
                <w:szCs w:val="22"/>
              </w:rPr>
              <w:t>Realizujący działania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/>
            </w:pPr>
            <w:r>
              <w:rPr>
                <w:rStyle w:val="Mocnewyrnione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/>
            </w:pPr>
            <w:r>
              <w:rPr>
                <w:rStyle w:val="Mocnewyrnione"/>
                <w:b/>
                <w:bCs/>
                <w:sz w:val="22"/>
                <w:szCs w:val="22"/>
              </w:rPr>
              <w:t>Termin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1.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Sporządzenie Planu działania na rzecz poprawy zapewnienia dostępności osobom ze szczególnymi potrzebami przez Urząd Miasta Lublin i jednostki organizacyjne miasta Lublin.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Koordynator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Opracowanie Planu działania i przekazanie do zatwierdzenia.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kwiecień 2022 roku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2.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Zatwierdzenie Planu działania na rzecz poprawy zapewnienia dostępności osobom ze szczególnymi potrzebami przez Urząd Miasta Lublin i jednostki organizacyjne miasta Lublin.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Prezydent Miasta Lublin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Przekazanie do Prezydenta Miasta Lublin.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kwiecień 2022 roku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3.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Przekazanie do publicznej wiadomości Planu działania na rzecz poprawy zapewnienia dostępności osobom ze  szczególnymi potrzebami.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Redaktorzy BIP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Podanie do publicznej wiadomości w BIP Planu działania na rzecz poprawy zapewnienia dostępności osobom ze szczególnymi potrzebami przez Urząd Miasta Lublin i jednostki organizacyjne miasta Lublin.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Style w:val="Mocnewyrnione"/>
                <w:rFonts w:ascii="Arial" w:hAnsi="Arial"/>
                <w:b w:val="false"/>
                <w:b w:val="false"/>
                <w:sz w:val="22"/>
                <w:szCs w:val="22"/>
              </w:rPr>
            </w:pPr>
            <w:r>
              <w:rPr>
                <w:rStyle w:val="Mocnewyrnione"/>
                <w:b w:val="false"/>
                <w:sz w:val="22"/>
                <w:szCs w:val="22"/>
              </w:rPr>
              <w:t>kwiecień 2022 roku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stanu zapewnienia dostępności osobom ze szczególnymi potrzebami.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barier i możliwości usprawnień dla osób ze szczególnymi potrzebami.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Podniesienie stanu wiedzy na temat dostępności.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Udział w szkoleniach zewnętrznych w zakresie realizacji założeń Ustawy o zapewnieniu dostępności osobom ze szczególnymi potrzebami.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</w:rPr>
              <w:t>Szkolenia wewnętrzne dla pracowników Urzędu Miasta i jednostek organizacyjnych z zakresu zapewnienia dostępności dokumentów urzędowych, treści zamieszczanych na stronach internetowych, materiałów/publikacji urzędowych.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</w:rPr>
              <w:t xml:space="preserve">Zapewnienie wzrostu świadomości wśród pracowników UML </w:t>
              <w:br/>
              <w:t>i jednostek organizacyjnych w zakresie obsługi osób (w tym osób ze szczególnymi potrzebami) - szkolenia na temat obsługi osób z niepełnosprawnościami dla pracowników UML i jednostek organizacyjnych mających bezpośredni kontakt z interesantami.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>
          <w:trHeight w:val="812" w:hRule="atLeast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6a.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/>
              <w:t>Monitorowanie działalności w zakresie zapewnienia dostępności (analiza potrzeb, wprowadzanie zmian w Urzędzie, jednostkach i ich otoczeniu, w ich procedurach i regulaminach, modyfikowanie Deklaracji dostępności).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Koordynator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/>
              <w:t>Współpraca z Dyrektorami Wydziałów Urzędu Miasta i jednostek organizacyjnych w zakresie dostępności.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>
          <w:trHeight w:val="2067" w:hRule="atLeas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6b.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Monitorowanie działalności w zakresie zapewnienia dostępności (analiza potrzeb, wprowadzanie zmian w Urzędzie, jednostkach i ich otoczeniu, w ich procedurach i regulaminach, modyfikowanie Deklaracji dostępności).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Systematyczna poprawa istniejącej infrastruktury i otoczenia.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>
          <w:trHeight w:val="1150" w:hRule="atLeas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6c.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Monitorowanie działalności w zakresie zapewnienia dostępności (analiza potrzeb, wprowadzanie zmian w Urzędzie, jednostkach i ich otoczeniu, w ich procedurach i regulaminach, modyfikowanie Deklaracji dostępności).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IT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Stałe monitorowanie dokumentów i treści zamieszczanych na stronach internetowych UML i jednostek organizacyjnych.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analiza stanu zapewnienia dostępności osobom ze szczególnymi potrzebami w zakresie dostępności architektonicznej.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 monitoring budynków UM Lublin i jednostek organizacyjnych pod kątem dostępności architektonicznej, o której mowa w art. 6 ustawy o zapewnianiu dostępności.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audytu wewnętrznego, przygotowanie rekomendacji oraz wprowadzanie rozwiązań służących zapewnieniu dostępności.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Pozyskanie środków zewnętrznych na zapewnienie dostępności.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środków własnych na działania naprawcze.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analiza stanu zapewnienia dostępności osobom ze szczególnymi potrzebami w zakresie dostępności informacyjno-komunikacyjnej.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 monitoring budynków UM Lublin i jednostek podległych pod kątem zgodności działań informacyjno-komunikacyjnych zgodnie z art. 6 ustawy o zapewnianiu dostępności.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audytu wewnętrznego, przygotowanie rekomendacji oraz wprowadzanie rozwiązań służących zapewnieniu dostępności.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Pozyskanie środków zewnętrznych na zapewnienie dostępności.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środków własnych na działania naprawcze.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Dokonanie analizy stanu zapewnienia dostępności osobom ze szczególnymi potrzebami w zakresie dostępności cyfrowej.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Administrator Systemów Informatycznych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 monitoring pod kątem dostępności cyfrowej, w tym zgodności prowadzonych stron internetowych, z wymaganiami określonymi w ustawie z dnia 4 kwietnia 2019 r. o dostępności cyfrowej stron internetowych i aplikacji mobilnych podmiotów publicznych (Dz. U. poz. 848).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Pozyskanie środków zewnętrznych na zapewnienie dostępności.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środków własnych na działania naprawcze.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>
          <w:trHeight w:val="1884" w:hRule="atLeas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osób ze szczególnymi potrzebami w zakresie dostępności cyfrowej, informacyjno-komunikacyjnej oraz architektonicznej.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Podjęcie działań mających na celu zapewnienie dostępności osobom ze szczególnymi potrzebami zgodnie z zapisami ustawy o dostępności. Zapewnienie dostępu alternatywnego w razie zaistnienia takiej potrzeby.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zaplanowanych działań dotyczących dostosowywania obiektów do wymogów w zakresie dostępności architektonicznej, informacyjno-komunikacyjnej oraz cyfrowej dla osób ze szczególnymi potrzebami, na podstawie dokonanych analiz.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OR + IT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Procedury obsługi osób ze szczególnymi potrzebami.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Dostosowywanie pomieszczeń Urzędu Miasta i jednostek organizacyjnych pod kątem dostępności dla osób z różnymi niepełnosprawnościami.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Umieszczenie na stronach internetowych Urzędu Miasta Lublin i jednostek organizacyjnych informacji o działalności podmiotu publicznego w ETR i PJM.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Zespołu zadaniowego do spraw dostępności Urzędu Miasta Lublin i jednostek organizacyjnych miasta Lublin.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analiza stanu wdrażania zapisów ustawy o dostępności.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Rekomendowanie wprowadzanych zmian organizacyjnych i procedur.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informacji o wdrożonych działaniach i rozwiązaniach w zakresie dostępności we wszystkich obszarach wynikających z ustawy o dostępności.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z zapytaniem w przedmiotowym zakresie do wszystkich jednostek organizacyjnych Urzędu Miasta, a za ich pośrednictwem również do jednostek nadzorowanych.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Coroczne sporządzenie zestawienia zbiorczego o udogodnieniach wprowadzonych w Urzędzie Miasta i jednostkach organizacyjnych i pozostających do zrealizowania w kolejnych latach.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Wystąpienie: listopad każdego roku</w:t>
            </w:r>
          </w:p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Zestawienie: do 31 stycznia każdego roku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organizacjami działającymi na rzecz środowiska osób niepełnosprawnych.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ciągłe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Raportu o stanie zapewnienia dostępności osobom ze szczególnymi potrzebami.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sporządzonego raportu do zatwierdzenia przez Prezydenta Miasta Lublin.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2025 roku</w:t>
            </w:r>
          </w:p>
        </w:tc>
      </w:tr>
      <w:tr>
        <w:trPr>
          <w:trHeight w:val="1408" w:hRule="atLeas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Raportu o stanie zapewnienia dostępności osobom ze szczególnymi potrzebami.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Kierownicy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2025 roku</w:t>
            </w:r>
          </w:p>
        </w:tc>
      </w:tr>
      <w:tr>
        <w:trPr>
          <w:trHeight w:val="1408" w:hRule="atLeas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Przedłożenie Wojewodzie Lubelskiemu Raportu o stanie zapewnienia dostępności osobom ze szczególnymi potrzebami.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i kierownicy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do 31 marca 2025 roku</w:t>
            </w:r>
          </w:p>
        </w:tc>
      </w:tr>
      <w:tr>
        <w:trPr>
          <w:trHeight w:val="1408" w:hRule="atLeas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do publicznej wiadomości Raportu o stanie zapewnienia dostępności osobom ze szczególnymi potrzebami.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Redaktorzy BIP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treści Raportu do publicznej wiadomości na stronie BIP Urzędu Miasta Lublin i stronach poszczególnych jednostek organizacyjnych miasta Lublin.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do 31 marca 2025 roku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danych do raportu zbiorczego.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+ Zespół zadaniowy do spraw dostępności Urzędu Miasta Lublin i jednostek organizacyjnych miasta Lublin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danych do raportu zbiorczego ze wszystkich jednostek organizacyjnych miasta Lublin i  Urzędu Miasta Lublin. Przedłożenie raportu dla Prezydenta Miasta Lublin.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260" w:after="260"/>
              <w:rPr>
                <w:rFonts w:ascii="Arial" w:hAnsi="Arial"/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</w:rPr>
              <w:t>do 30 czerwca 2025 roku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360" w:before="260" w:after="2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709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260" w:after="260"/>
      <w:jc w:val="left"/>
    </w:pPr>
    <w:rPr>
      <w:rFonts w:ascii="Arial" w:hAnsi="Arial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320" w:after="320"/>
      <w:outlineLvl w:val="0"/>
    </w:pPr>
    <w:rPr>
      <w:b w:val="false"/>
      <w:bCs/>
      <w:sz w:val="32"/>
      <w:szCs w:val="36"/>
    </w:rPr>
  </w:style>
  <w:style w:type="paragraph" w:styleId="Nagwek2">
    <w:name w:val="Heading 2"/>
    <w:basedOn w:val="Gwka"/>
    <w:next w:val="Tretekstu"/>
    <w:qFormat/>
    <w:pPr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Pr>
      <w:b/>
      <w:b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32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532e6"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532e6"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32e6"/>
    <w:rPr>
      <w:rFonts w:ascii="Segoe UI" w:hAnsi="Segoe UI" w:cs="Mangal"/>
      <w:sz w:val="18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9532e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62c7"/>
    <w:rPr>
      <w:rFonts w:cs="Mangal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Liniapozioma" w:customStyle="1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32e6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32e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32e6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387eb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3a62c7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Punktor" w:customStyle="1">
    <w:name w:val="Punktor •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6F4B-4810-43B8-9FB6-F730FD9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LibreOffice/7.2.2.1$Windows_X86_64 LibreOffice_project/0e408af0b27894d652a87aa5f21fe17bf058124c</Application>
  <AppVersion>15.0000</AppVersion>
  <Pages>9</Pages>
  <Words>1121</Words>
  <Characters>8031</Characters>
  <CharactersWithSpaces>9030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2022-04-06T08:32:00Z</dcterms:created>
  <dc:creator>Robert Lipiński</dc:creator>
  <dc:description/>
  <cp:keywords>dostępność dostępność dostępność dostępność dostępność dostępność plan działania osoby z niepełnosprawnościami zapewnienie dostępności</cp:keywords>
  <dc:language>pl-PL</dc:language>
  <cp:lastModifiedBy>Dorota Mazurek</cp:lastModifiedBy>
  <cp:lastPrinted>2022-04-05T11:15:00Z</cp:lastPrinted>
  <dcterms:modified xsi:type="dcterms:W3CDTF">2022-04-22T15:17:59Z</dcterms:modified>
  <cp:revision>77</cp:revision>
  <dc:subject>Plan działania na rzecz poprawy zapewnienia dostępności osobom ze szczególnymi potrzebami na lata 2022 – 2025</dc:subject>
  <dc:title>Plan działaniana rzecz poprawy dostępności na lata 2022-2025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